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sz w:val="30"/>
          <w:szCs w:val="30"/>
        </w:rPr>
        <w:t xml:space="preserve">UMOWA UŻYCZENIA</w:t>
      </w:r>
    </w:p>
    <w:p>
      <w:pPr>
        <w:pBdr>
          <w:bottom w:val="single" w:color="C8C8CC" w:sz="6" w:space="6"/>
        </w:pBdr>
        <w:spacing w:after="60"/>
        <w:jc w:val="center"/>
      </w:pPr>
      <w:r>
        <w:rPr>
          <w:color w:val="6B6B6B"/>
        </w:rPr>
        <w:t xml:space="preserve">rzeczy ruchomej (np. sprzętu, narzędzi, maszyny, roweru)</w:t>
      </w:r>
    </w:p>
    <w:p>
      <w:pPr>
        <w:spacing w:after="220" w:before="80"/>
        <w:jc w:val="center"/>
      </w:pPr>
      <w:r>
        <w:rPr>
          <w:i/>
          <w:iCs/>
          <w:color w:val="6B6B6B"/>
          <w:sz w:val="18"/>
          <w:szCs w:val="18"/>
        </w:rPr>
        <w:t xml:space="preserve">Zaznacz ☒ właściwe pola i uzupełnij linie. Niepotrzebne warianty usuń przed podpisaniem.</w:t>
      </w:r>
    </w:p>
    <w:p>
      <w:pPr>
        <w:spacing w:after="80" w:line="288"/>
      </w:pPr>
      <w:r>
        <w:t xml:space="preserve">Zawarta w ______________________________ dnia ____________________ r. pomiędzy:</w:t>
      </w:r>
    </w:p>
    <w:p>
      <w:pPr>
        <w:keepNext/>
        <w:spacing w:after="60" w:before="160"/>
      </w:pPr>
      <w:r>
        <w:rPr>
          <w:b/>
          <w:bCs/>
        </w:rPr>
        <w:t xml:space="preserve">UŻYCZAJĄCYM</w:t>
      </w:r>
    </w:p>
    <w:p>
      <w:pPr>
        <w:tabs>
          <w:tab w:val="right" w:pos="8730" w:leader="underscore"/>
        </w:tabs>
        <w:spacing w:after="70" w:line="288"/>
        <w:ind w:left="397"/>
      </w:pPr>
      <w:r>
        <w:t xml:space="preserve">Imię i nazwisko albo firma (nazwa):  </w:t>
      </w:r>
      <w:r>
        <w:tab/>
      </w:r>
    </w:p>
    <w:p>
      <w:pPr>
        <w:tabs>
          <w:tab w:val="right" w:pos="8730" w:leader="underscore"/>
        </w:tabs>
        <w:spacing w:after="70" w:line="288"/>
        <w:ind w:left="397"/>
      </w:pPr>
      <w:r>
        <w:t xml:space="preserve">Adres zamieszkania albo siedziby:  </w:t>
      </w:r>
      <w:r>
        <w:tab/>
      </w:r>
    </w:p>
    <w:p>
      <w:pPr>
        <w:tabs>
          <w:tab w:val="right" w:pos="8730" w:leader="underscore"/>
        </w:tabs>
        <w:spacing w:after="70" w:line="288"/>
        <w:ind w:left="397"/>
      </w:pPr>
      <w:r>
        <w:t xml:space="preserve">PESEL albo NIP (i numer KRS, jeśli nadano):  </w:t>
      </w:r>
      <w:r>
        <w:tab/>
      </w:r>
    </w:p>
    <w:p>
      <w:pPr>
        <w:tabs>
          <w:tab w:val="right" w:pos="8730" w:leader="underscore"/>
        </w:tabs>
        <w:spacing w:after="70" w:line="288"/>
        <w:ind w:left="397"/>
      </w:pPr>
      <w:r>
        <w:t xml:space="preserve">Reprezentowany przez (jeśli dotyczy):  </w:t>
      </w:r>
      <w:r>
        <w:tab/>
      </w:r>
    </w:p>
    <w:p>
      <w:pPr>
        <w:tabs>
          <w:tab w:val="right" w:pos="8730" w:leader="underscore"/>
        </w:tabs>
        <w:spacing w:after="70" w:line="288"/>
        <w:ind w:left="397"/>
      </w:pPr>
      <w:r>
        <w:t xml:space="preserve">Telefon i e-mail:  </w:t>
      </w:r>
      <w:r>
        <w:tab/>
      </w:r>
    </w:p>
    <w:p>
      <w:pPr>
        <w:keepNext/>
        <w:spacing w:after="60" w:before="160"/>
      </w:pPr>
      <w:r>
        <w:rPr>
          <w:b/>
          <w:bCs/>
        </w:rPr>
        <w:t xml:space="preserve">a BIORĄCYM</w:t>
      </w:r>
    </w:p>
    <w:p>
      <w:pPr>
        <w:tabs>
          <w:tab w:val="right" w:pos="8730" w:leader="underscore"/>
        </w:tabs>
        <w:spacing w:after="70" w:line="288"/>
        <w:ind w:left="397"/>
      </w:pPr>
      <w:r>
        <w:t xml:space="preserve">Imię i nazwisko albo firma (nazwa):  </w:t>
      </w:r>
      <w:r>
        <w:tab/>
      </w:r>
    </w:p>
    <w:p>
      <w:pPr>
        <w:tabs>
          <w:tab w:val="right" w:pos="8730" w:leader="underscore"/>
        </w:tabs>
        <w:spacing w:after="70" w:line="288"/>
        <w:ind w:left="397"/>
      </w:pPr>
      <w:r>
        <w:t xml:space="preserve">Adres zamieszkania albo siedziby:  </w:t>
      </w:r>
      <w:r>
        <w:tab/>
      </w:r>
    </w:p>
    <w:p>
      <w:pPr>
        <w:tabs>
          <w:tab w:val="right" w:pos="8730" w:leader="underscore"/>
        </w:tabs>
        <w:spacing w:after="70" w:line="288"/>
        <w:ind w:left="397"/>
      </w:pPr>
      <w:r>
        <w:t xml:space="preserve">PESEL albo NIP (i numer KRS, jeśli nadano):  </w:t>
      </w:r>
      <w:r>
        <w:tab/>
      </w:r>
    </w:p>
    <w:p>
      <w:pPr>
        <w:tabs>
          <w:tab w:val="right" w:pos="8730" w:leader="underscore"/>
        </w:tabs>
        <w:spacing w:after="70" w:line="288"/>
        <w:ind w:left="397"/>
      </w:pPr>
      <w:r>
        <w:t xml:space="preserve">Reprezentowany przez (jeśli dotyczy):  </w:t>
      </w:r>
      <w:r>
        <w:tab/>
      </w:r>
    </w:p>
    <w:p>
      <w:pPr>
        <w:tabs>
          <w:tab w:val="right" w:pos="8730" w:leader="underscore"/>
        </w:tabs>
        <w:spacing w:after="70" w:line="288"/>
        <w:ind w:left="397"/>
      </w:pPr>
      <w:r>
        <w:t xml:space="preserve">Telefon i e-mail:  </w:t>
      </w:r>
      <w:r>
        <w:tab/>
      </w:r>
    </w:p>
    <w:p>
      <w:pPr>
        <w:spacing w:after="80" w:before="120" w:line="288"/>
      </w:pPr>
      <w:r>
        <w:t xml:space="preserve">zwanymi dalej łącznie „Stronami”.</w:t>
      </w:r>
    </w:p>
    <w:p>
      <w:pPr>
        <w:keepNext/>
        <w:keepLines/>
        <w:pBdr>
          <w:bottom w:val="single" w:color="C8C8CC" w:sz="6" w:space="4"/>
        </w:pBdr>
        <w:spacing w:after="120" w:before="300"/>
      </w:pPr>
      <w:r>
        <w:rPr>
          <w:b/>
          <w:bCs/>
          <w:sz w:val="24"/>
          <w:szCs w:val="24"/>
        </w:rPr>
        <w:t xml:space="preserve">§ 1  Przedmiot umowy</w:t>
      </w:r>
    </w:p>
    <w:p>
      <w:pPr>
        <w:pStyle w:val="ListParagraph"/>
        <w:numPr>
          <w:ilvl w:val="0"/>
          <w:numId w:val="2"/>
        </w:numPr>
        <w:tabs>
          <w:tab w:val="right" w:pos="8730" w:leader="underscore"/>
        </w:tabs>
        <w:spacing w:after="80" w:line="288"/>
      </w:pPr>
      <w:r>
        <w:t xml:space="preserve">Użyczający oddaje Biorącemu do bezpłatnego używania rzecz (nazwa, marka, model, numer seryjny lub inne cechy, które pozwalają ją odróżnić): </w:t>
      </w:r>
      <w:r>
        <w:tab/>
      </w:r>
    </w:p>
    <w:p>
      <w:pPr>
        <w:tabs>
          <w:tab w:val="right" w:pos="8730" w:leader="underscore"/>
        </w:tabs>
        <w:spacing w:after="70" w:line="288"/>
        <w:ind w:left="397"/>
      </w:pPr>
      <w:r>
        <w:tab/>
      </w:r>
    </w:p>
    <w:p>
      <w:pPr>
        <w:spacing w:after="80" w:line="288"/>
        <w:ind w:left="397"/>
      </w:pPr>
      <w:r>
        <w:t xml:space="preserve">dalej: „Rzecz”, a Biorący Rzecz przyjmuje.</w:t>
      </w:r>
    </w:p>
    <w:p>
      <w:pPr>
        <w:pStyle w:val="ListParagraph"/>
        <w:numPr>
          <w:ilvl w:val="0"/>
          <w:numId w:val="2"/>
        </w:numPr>
        <w:spacing w:after="80" w:line="288"/>
      </w:pPr>
      <w:r>
        <w:t xml:space="preserve">Wraz z Rzeczą Użyczający wydaje:  </w:t>
      </w:r>
      <w:sdt>
        <w:sdtPr>
          <w14:checkbox>
            <w14:checked w14:val="0"/>
            <w14:checkedState w14:val="2612" w14:font="MS Gothic"/>
            <w14:uncheckedState w14:val="2610" w14:font="MS Gothic"/>
          </w14:checkbox>
        </w:sdtPr>
        <w:sdtContent>
          <w:r>
            <w:sym w:char="2610" w:font="MS Gothic"/>
          </w:r>
        </w:sdtContent>
      </w:sdt>
      <w:r>
        <w:t xml:space="preserve"> </w:t>
      </w:r>
      <w:r>
        <w:t xml:space="preserve"> instrukcję obsługi   </w:t>
      </w:r>
      <w:sdt>
        <w:sdtPr>
          <w14:checkbox>
            <w14:checked w14:val="0"/>
            <w14:checkedState w14:val="2612" w14:font="MS Gothic"/>
            <w14:uncheckedState w14:val="2610" w14:font="MS Gothic"/>
          </w14:checkbox>
        </w:sdtPr>
        <w:sdtContent>
          <w:r>
            <w:sym w:char="2610" w:font="MS Gothic"/>
          </w:r>
        </w:sdtContent>
      </w:sdt>
      <w:r>
        <w:t xml:space="preserve"> </w:t>
      </w:r>
      <w:r>
        <w:t xml:space="preserve"> ładowarkę lub zasilacz   </w:t>
      </w:r>
      <w:sdt>
        <w:sdtPr>
          <w14:checkbox>
            <w14:checked w14:val="0"/>
            <w14:checkedState w14:val="2612" w14:font="MS Gothic"/>
            <w14:uncheckedState w14:val="2610" w14:font="MS Gothic"/>
          </w14:checkbox>
        </w:sdtPr>
        <w:sdtContent>
          <w:r>
            <w:sym w:char="2610" w:font="MS Gothic"/>
          </w:r>
        </w:sdtContent>
      </w:sdt>
      <w:r>
        <w:t xml:space="preserve"> </w:t>
      </w:r>
      <w:r>
        <w:t xml:space="preserve"> akcesoria i części: ______________________________   </w:t>
      </w:r>
      <w:sdt>
        <w:sdtPr>
          <w14:checkbox>
            <w14:checked w14:val="0"/>
            <w14:checkedState w14:val="2612" w14:font="MS Gothic"/>
            <w14:uncheckedState w14:val="2610" w14:font="MS Gothic"/>
          </w14:checkbox>
        </w:sdtPr>
        <w:sdtContent>
          <w:r>
            <w:sym w:char="2610" w:font="MS Gothic"/>
          </w:r>
        </w:sdtContent>
      </w:sdt>
      <w:r>
        <w:t xml:space="preserve"> </w:t>
      </w:r>
      <w:r>
        <w:t xml:space="preserve"> dokumenty: ______________________________.</w:t>
      </w:r>
    </w:p>
    <w:p>
      <w:pPr>
        <w:pStyle w:val="ListParagraph"/>
        <w:numPr>
          <w:ilvl w:val="0"/>
          <w:numId w:val="2"/>
        </w:numPr>
        <w:spacing w:after="80" w:line="288"/>
      </w:pPr>
      <w:r>
        <w:t xml:space="preserve">Strony zgodnie określają wartość Rzeczy na ____________ zł (słownie: ______________________________ złotych). Kwota ta służy do ustalenia odszkodowania, gdyby Biorący odpowiadał za utratę Rzeczy.</w:t>
      </w:r>
    </w:p>
    <w:p>
      <w:pPr>
        <w:pStyle w:val="ListParagraph"/>
        <w:numPr>
          <w:ilvl w:val="0"/>
          <w:numId w:val="2"/>
        </w:numPr>
        <w:spacing w:after="80" w:line="288"/>
      </w:pPr>
      <w:r>
        <w:t xml:space="preserve">Użyczający oświadcza, że  </w:t>
      </w:r>
      <w:sdt>
        <w:sdtPr>
          <w14:checkbox>
            <w14:checked w14:val="0"/>
            <w14:checkedState w14:val="2612" w14:font="MS Gothic"/>
            <w14:uncheckedState w14:val="2610" w14:font="MS Gothic"/>
          </w14:checkbox>
        </w:sdtPr>
        <w:sdtContent>
          <w:r>
            <w:sym w:char="2610" w:font="MS Gothic"/>
          </w:r>
        </w:sdtContent>
      </w:sdt>
      <w:r>
        <w:t xml:space="preserve"> </w:t>
      </w:r>
      <w:r>
        <w:t xml:space="preserve"> jest właścicielem Rzeczy   </w:t>
      </w:r>
      <w:sdt>
        <w:sdtPr>
          <w14:checkbox>
            <w14:checked w14:val="0"/>
            <w14:checkedState w14:val="2612" w14:font="MS Gothic"/>
            <w14:uncheckedState w14:val="2610" w14:font="MS Gothic"/>
          </w14:checkbox>
        </w:sdtPr>
        <w:sdtContent>
          <w:r>
            <w:sym w:char="2610" w:font="MS Gothic"/>
          </w:r>
        </w:sdtContent>
      </w:sdt>
      <w:r>
        <w:t xml:space="preserve"> </w:t>
      </w:r>
      <w:r>
        <w:t xml:space="preserve"> może oddać Rzecz do używania jako ______________________________ (np. współwłaściciel za zgodą pozostałych współwłaścicieli).</w:t>
      </w:r>
    </w:p>
    <w:p>
      <w:pPr>
        <w:pStyle w:val="ListParagraph"/>
        <w:numPr>
          <w:ilvl w:val="0"/>
          <w:numId w:val="2"/>
        </w:numPr>
        <w:spacing w:after="80" w:line="288"/>
      </w:pPr>
      <w:r>
        <w:t xml:space="preserve">Stan Rzeczy w dniu wydania Strony opisują w protokole przekazania i zwrotu (Załącznik nr 1). Użyczający oświadcza, że nie są mu znane wady Rzeczy inne niż wpisane do protokołu.</w:t>
      </w:r>
    </w:p>
    <w:p>
      <w:pPr>
        <w:keepNext/>
        <w:keepLines/>
        <w:pBdr>
          <w:bottom w:val="single" w:color="C8C8CC" w:sz="6" w:space="4"/>
        </w:pBdr>
        <w:spacing w:after="120" w:before="300"/>
      </w:pPr>
      <w:r>
        <w:rPr>
          <w:b/>
          <w:bCs/>
          <w:sz w:val="24"/>
          <w:szCs w:val="24"/>
        </w:rPr>
        <w:t xml:space="preserve">§ 2  Cel i sposób używania</w:t>
      </w:r>
    </w:p>
    <w:p>
      <w:pPr>
        <w:pStyle w:val="ListParagraph"/>
        <w:numPr>
          <w:ilvl w:val="0"/>
          <w:numId w:val="3"/>
        </w:numPr>
        <w:tabs>
          <w:tab w:val="right" w:pos="8730" w:leader="underscore"/>
        </w:tabs>
        <w:spacing w:after="80" w:line="288"/>
      </w:pPr>
      <w:r>
        <w:t xml:space="preserve">Biorący będzie używał Rzeczy w celu: </w:t>
      </w:r>
      <w:r>
        <w:tab/>
      </w:r>
    </w:p>
    <w:p>
      <w:pPr>
        <w:pStyle w:val="ListParagraph"/>
        <w:numPr>
          <w:ilvl w:val="0"/>
          <w:numId w:val="3"/>
        </w:numPr>
        <w:spacing w:after="80" w:line="288"/>
      </w:pPr>
      <w:r>
        <w:t xml:space="preserve">Biorący będzie używał Rzeczy osobiście, zgodnie z jej właściwościami i przeznaczeniem, instrukcją obsługi oraz umową, z należytą starannością, i będzie chronił ją przed utratą i uszkodzeniem.</w:t>
      </w:r>
    </w:p>
    <w:p>
      <w:pPr>
        <w:pStyle w:val="ListParagraph"/>
        <w:numPr>
          <w:ilvl w:val="0"/>
          <w:numId w:val="3"/>
        </w:numPr>
        <w:spacing w:after="80" w:line="288"/>
      </w:pPr>
      <w:r>
        <w:t xml:space="preserve">Miejsce używania i przechowywania Rzeczy:  </w:t>
      </w:r>
      <w:sdt>
        <w:sdtPr>
          <w14:checkbox>
            <w14:checked w14:val="0"/>
            <w14:checkedState w14:val="2612" w14:font="MS Gothic"/>
            <w14:uncheckedState w14:val="2610" w14:font="MS Gothic"/>
          </w14:checkbox>
        </w:sdtPr>
        <w:sdtContent>
          <w:r>
            <w:sym w:char="2610" w:font="MS Gothic"/>
          </w:r>
        </w:sdtContent>
      </w:sdt>
      <w:r>
        <w:t xml:space="preserve"> </w:t>
      </w:r>
      <w:r>
        <w:t xml:space="preserve"> bez ograniczeń   </w:t>
      </w:r>
      <w:sdt>
        <w:sdtPr>
          <w14:checkbox>
            <w14:checked w14:val="0"/>
            <w14:checkedState w14:val="2612" w14:font="MS Gothic"/>
            <w14:uncheckedState w14:val="2610" w14:font="MS Gothic"/>
          </w14:checkbox>
        </w:sdtPr>
        <w:sdtContent>
          <w:r>
            <w:sym w:char="2610" w:font="MS Gothic"/>
          </w:r>
        </w:sdtContent>
      </w:sdt>
      <w:r>
        <w:t xml:space="preserve"> </w:t>
      </w:r>
      <w:r>
        <w:t xml:space="preserve"> wyłącznie pod adresem: ______________________________.</w:t>
      </w:r>
    </w:p>
    <w:p>
      <w:pPr>
        <w:pStyle w:val="ListParagraph"/>
        <w:numPr>
          <w:ilvl w:val="0"/>
          <w:numId w:val="3"/>
        </w:numPr>
        <w:spacing w:after="80" w:line="288"/>
      </w:pPr>
      <w:r>
        <w:t xml:space="preserve">Bez pisemnej zgody Użyczającego Biorący nie może oddać Rzeczy do używania osobie trzeciej, w szczególności wynająć jej, pożyczyć ani oddać w zastaw.</w:t>
      </w:r>
    </w:p>
    <w:p>
      <w:pPr>
        <w:pStyle w:val="ListParagraph"/>
        <w:numPr>
          <w:ilvl w:val="0"/>
          <w:numId w:val="3"/>
        </w:numPr>
        <w:tabs>
          <w:tab w:val="right" w:pos="8730" w:leader="underscore"/>
        </w:tabs>
        <w:spacing w:after="80" w:line="288"/>
      </w:pPr>
      <w:sdt>
        <w:sdtPr>
          <w14:checkbox>
            <w14:checked w14:val="0"/>
            <w14:checkedState w14:val="2612" w14:font="MS Gothic"/>
            <w14:uncheckedState w14:val="2610" w14:font="MS Gothic"/>
          </w14:checkbox>
        </w:sdtPr>
        <w:sdtContent>
          <w:r>
            <w:sym w:char="2610" w:font="MS Gothic"/>
          </w:r>
        </w:sdtContent>
      </w:sdt>
      <w:r>
        <w:t xml:space="preserve"> </w:t>
      </w:r>
      <w:r>
        <w:t xml:space="preserve"> Biorący może powierzyć Rzecz do używania następującym osobom, za które odpowiada jak za własne działania: </w:t>
      </w:r>
      <w:r>
        <w:tab/>
      </w:r>
    </w:p>
    <w:p>
      <w:pPr>
        <w:keepNext/>
        <w:keepLines/>
        <w:pBdr>
          <w:bottom w:val="single" w:color="C8C8CC" w:sz="6" w:space="4"/>
        </w:pBdr>
        <w:spacing w:after="120" w:before="300"/>
      </w:pPr>
      <w:r>
        <w:rPr>
          <w:b/>
          <w:bCs/>
          <w:sz w:val="24"/>
          <w:szCs w:val="24"/>
        </w:rPr>
        <w:t xml:space="preserve">§ 3  Czas trwania umowy</w:t>
      </w:r>
    </w:p>
    <w:p>
      <w:pPr>
        <w:pStyle w:val="ListParagraph"/>
        <w:numPr>
          <w:ilvl w:val="0"/>
          <w:numId w:val="4"/>
        </w:numPr>
        <w:spacing w:after="80" w:line="288"/>
      </w:pPr>
      <w:r>
        <w:t xml:space="preserve">Umowa zostaje zawarta:</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na czas oznaczony od ________________ do ________________ r.,</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na czas nieoznaczony od ____________________ r.; każda ze Stron może ją wypowiedzieć z zachowaniem ____________ (np. 7-dniowego) terminu wypowiedzenia.</w:t>
      </w:r>
    </w:p>
    <w:p>
      <w:pPr>
        <w:pStyle w:val="ListParagraph"/>
        <w:numPr>
          <w:ilvl w:val="0"/>
          <w:numId w:val="4"/>
        </w:numPr>
        <w:spacing w:after="80" w:line="288"/>
      </w:pPr>
      <w:r>
        <w:t xml:space="preserve">Użyczający może żądać zwrotu Rzeczy także przed upływem czasu, na który umowa została zawarta, jeżeli Biorący używa Rzeczy w sposób sprzeczny z umową albo z jej właściwościami lub przeznaczeniem, jeżeli powierza Rzecz innej osobie, nie będąc do tego upoważniony umową ani zmuszony przez okoliczności, albo jeżeli Rzecz stanie się potrzebna Użyczającemu z powodów nieprzewidzianych w chwili zawarcia umowy (art. 716 Kodeksu cywilnego). Biorący zwróci wtedy Rzecz w terminie ______ dni od otrzymania żądania.</w:t>
      </w:r>
    </w:p>
    <w:p>
      <w:pPr>
        <w:pStyle w:val="ListParagraph"/>
        <w:numPr>
          <w:ilvl w:val="0"/>
          <w:numId w:val="4"/>
        </w:numPr>
        <w:spacing w:after="80" w:line="288"/>
      </w:pPr>
      <w:r>
        <w:t xml:space="preserve">Biorący może zwrócić Rzecz przed upływem czasu, na który umowa została zawarta, uprzedzając Użyczającego o terminie zwrotu co najmniej ______ dni wcześniej.</w:t>
      </w:r>
    </w:p>
    <w:p>
      <w:pPr>
        <w:keepNext/>
        <w:keepLines/>
        <w:pBdr>
          <w:bottom w:val="single" w:color="C8C8CC" w:sz="6" w:space="4"/>
        </w:pBdr>
        <w:spacing w:after="120" w:before="300"/>
      </w:pPr>
      <w:r>
        <w:rPr>
          <w:b/>
          <w:bCs/>
          <w:sz w:val="24"/>
          <w:szCs w:val="24"/>
        </w:rPr>
        <w:t xml:space="preserve">§ 4  Koszty i nakłady</w:t>
      </w:r>
    </w:p>
    <w:p>
      <w:pPr>
        <w:pStyle w:val="ListParagraph"/>
        <w:numPr>
          <w:ilvl w:val="0"/>
          <w:numId w:val="5"/>
        </w:numPr>
        <w:spacing w:after="80" w:line="288"/>
      </w:pPr>
      <w:r>
        <w:t xml:space="preserve">Biorący ponosi zwykłe koszty utrzymania Rzeczy (art. 713 Kodeksu cywilnego), w szczególności koszty:  </w:t>
      </w:r>
      <w:sdt>
        <w:sdtPr>
          <w14:checkbox>
            <w14:checked w14:val="0"/>
            <w14:checkedState w14:val="2612" w14:font="MS Gothic"/>
            <w14:uncheckedState w14:val="2610" w14:font="MS Gothic"/>
          </w14:checkbox>
        </w:sdtPr>
        <w:sdtContent>
          <w:r>
            <w:sym w:char="2610" w:font="MS Gothic"/>
          </w:r>
        </w:sdtContent>
      </w:sdt>
      <w:r>
        <w:t xml:space="preserve"> </w:t>
      </w:r>
      <w:r>
        <w:t xml:space="preserve"> paliwa lub energii   </w:t>
      </w:r>
      <w:sdt>
        <w:sdtPr>
          <w14:checkbox>
            <w14:checked w14:val="0"/>
            <w14:checkedState w14:val="2612" w14:font="MS Gothic"/>
            <w14:uncheckedState w14:val="2610" w14:font="MS Gothic"/>
          </w14:checkbox>
        </w:sdtPr>
        <w:sdtContent>
          <w:r>
            <w:sym w:char="2610" w:font="MS Gothic"/>
          </w:r>
        </w:sdtContent>
      </w:sdt>
      <w:r>
        <w:t xml:space="preserve"> </w:t>
      </w:r>
      <w:r>
        <w:t xml:space="preserve"> materiałów eksploatacyjnych   </w:t>
      </w:r>
      <w:sdt>
        <w:sdtPr>
          <w14:checkbox>
            <w14:checked w14:val="0"/>
            <w14:checkedState w14:val="2612" w14:font="MS Gothic"/>
            <w14:uncheckedState w14:val="2610" w14:font="MS Gothic"/>
          </w14:checkbox>
        </w:sdtPr>
        <w:sdtContent>
          <w:r>
            <w:sym w:char="2610" w:font="MS Gothic"/>
          </w:r>
        </w:sdtContent>
      </w:sdt>
      <w:r>
        <w:t xml:space="preserve"> </w:t>
      </w:r>
      <w:r>
        <w:t xml:space="preserve"> bieżącej konserwacji i drobnych napraw   </w:t>
      </w:r>
      <w:sdt>
        <w:sdtPr>
          <w14:checkbox>
            <w14:checked w14:val="0"/>
            <w14:checkedState w14:val="2612" w14:font="MS Gothic"/>
            <w14:uncheckedState w14:val="2610" w14:font="MS Gothic"/>
          </w14:checkbox>
        </w:sdtPr>
        <w:sdtContent>
          <w:r>
            <w:sym w:char="2610" w:font="MS Gothic"/>
          </w:r>
        </w:sdtContent>
      </w:sdt>
      <w:r>
        <w:t xml:space="preserve"> </w:t>
      </w:r>
      <w:r>
        <w:t xml:space="preserve"> inne: ______________________________.</w:t>
      </w:r>
    </w:p>
    <w:p>
      <w:pPr>
        <w:pStyle w:val="ListParagraph"/>
        <w:numPr>
          <w:ilvl w:val="0"/>
          <w:numId w:val="5"/>
        </w:numPr>
        <w:spacing w:after="80" w:line="288"/>
      </w:pPr>
      <w:r>
        <w:t xml:space="preserve">O awarii lub potrzebie naprawy wykraczającej poza zwykłe utrzymanie Rzeczy Biorący niezwłocznie zawiadamia Użyczającego. Taką naprawę albo inne nakłady na Rzecz Biorący może wykonać na koszt Użyczającego tylko za jego zgodą, wyrażoną co najmniej e-mailem lub SMS-em, chyba że są konieczne, aby zapobiec szkodzie.</w:t>
      </w:r>
    </w:p>
    <w:p>
      <w:pPr>
        <w:pStyle w:val="ListParagraph"/>
        <w:numPr>
          <w:ilvl w:val="0"/>
          <w:numId w:val="5"/>
        </w:numPr>
        <w:spacing w:after="80" w:line="288"/>
      </w:pPr>
      <w:r>
        <w:t xml:space="preserve">Ubezpieczenie Rzeczy:  </w:t>
      </w:r>
      <w:sdt>
        <w:sdtPr>
          <w14:checkbox>
            <w14:checked w14:val="0"/>
            <w14:checkedState w14:val="2612" w14:font="MS Gothic"/>
            <w14:uncheckedState w14:val="2610" w14:font="MS Gothic"/>
          </w14:checkbox>
        </w:sdtPr>
        <w:sdtContent>
          <w:r>
            <w:sym w:char="2610" w:font="MS Gothic"/>
          </w:r>
        </w:sdtContent>
      </w:sdt>
      <w:r>
        <w:t xml:space="preserve"> </w:t>
      </w:r>
      <w:r>
        <w:t xml:space="preserve"> nie dotyczy   </w:t>
      </w:r>
      <w:sdt>
        <w:sdtPr>
          <w14:checkbox>
            <w14:checked w14:val="0"/>
            <w14:checkedState w14:val="2612" w14:font="MS Gothic"/>
            <w14:uncheckedState w14:val="2610" w14:font="MS Gothic"/>
          </w14:checkbox>
        </w:sdtPr>
        <w:sdtContent>
          <w:r>
            <w:sym w:char="2610" w:font="MS Gothic"/>
          </w:r>
        </w:sdtContent>
      </w:sdt>
      <w:r>
        <w:t xml:space="preserve"> </w:t>
      </w:r>
      <w:r>
        <w:t xml:space="preserve"> Rzecz jest ubezpieczona przez Użyczającego (polisa nr ______________________________)   </w:t>
      </w:r>
      <w:sdt>
        <w:sdtPr>
          <w14:checkbox>
            <w14:checked w14:val="0"/>
            <w14:checkedState w14:val="2612" w14:font="MS Gothic"/>
            <w14:uncheckedState w14:val="2610" w14:font="MS Gothic"/>
          </w14:checkbox>
        </w:sdtPr>
        <w:sdtContent>
          <w:r>
            <w:sym w:char="2610" w:font="MS Gothic"/>
          </w:r>
        </w:sdtContent>
      </w:sdt>
      <w:r>
        <w:t xml:space="preserve"> </w:t>
      </w:r>
      <w:r>
        <w:t xml:space="preserve"> Biorący ubezpieczy Rzecz na swój koszt na czas używania.</w:t>
      </w:r>
    </w:p>
    <w:p>
      <w:pPr>
        <w:keepNext/>
        <w:keepLines/>
        <w:pBdr>
          <w:bottom w:val="single" w:color="C8C8CC" w:sz="6" w:space="4"/>
        </w:pBdr>
        <w:spacing w:after="120" w:before="300"/>
      </w:pPr>
      <w:r>
        <w:rPr>
          <w:b/>
          <w:bCs/>
          <w:sz w:val="24"/>
          <w:szCs w:val="24"/>
        </w:rPr>
        <w:t xml:space="preserve">§ 5  Odpowiedzialność za Rzecz</w:t>
      </w:r>
    </w:p>
    <w:p>
      <w:pPr>
        <w:pStyle w:val="ListParagraph"/>
        <w:numPr>
          <w:ilvl w:val="0"/>
          <w:numId w:val="6"/>
        </w:numPr>
        <w:spacing w:after="80" w:line="288"/>
      </w:pPr>
      <w:r>
        <w:t xml:space="preserve">Biorący odpowiada za utratę lub uszkodzenie Rzeczy, chyba że nastąpiły one wskutek okoliczności, za które nie ponosi odpowiedzialności. Za przypadkową utratę lub uszkodzenie Rzeczy odpowiada, jeżeli używa jej w sposób sprzeczny z umową albo z jej właściwościami lub przeznaczeniem albo powierza ją innej osobie bez upoważnienia, a Rzecz nie uległaby utracie lub uszkodzeniu, gdyby używał jej we właściwy sposób albo zachował ją u siebie (art. 714 Kodeksu cywilnego).</w:t>
      </w:r>
    </w:p>
    <w:p>
      <w:pPr>
        <w:pStyle w:val="ListParagraph"/>
        <w:numPr>
          <w:ilvl w:val="0"/>
          <w:numId w:val="6"/>
        </w:numPr>
        <w:spacing w:after="80" w:line="288"/>
      </w:pPr>
      <w:r>
        <w:t xml:space="preserve">Biorący nie odpowiada za zużycie Rzeczy będące następstwem jej prawidłowego używania (art. 718 § 1 Kodeksu cywilnego).</w:t>
      </w:r>
    </w:p>
    <w:p>
      <w:pPr>
        <w:pStyle w:val="ListParagraph"/>
        <w:numPr>
          <w:ilvl w:val="0"/>
          <w:numId w:val="6"/>
        </w:numPr>
        <w:spacing w:after="80" w:line="288"/>
      </w:pPr>
      <w:r>
        <w:t xml:space="preserve">O utracie, kradzieży lub uszkodzeniu Rzeczy Biorący niezwłocznie zawiadamia Użyczającego, a kradzież zgłasza również Policji.</w:t>
      </w:r>
    </w:p>
    <w:p>
      <w:pPr>
        <w:pStyle w:val="ListParagraph"/>
        <w:numPr>
          <w:ilvl w:val="0"/>
          <w:numId w:val="6"/>
        </w:numPr>
        <w:spacing w:after="80" w:line="288"/>
      </w:pPr>
      <w:r>
        <w:t xml:space="preserve">Jeżeli Biorący odpowiada za utratę Rzeczy, zapłaci Użyczającemu odszkodowanie w wysokości wartości określonej w § 1 ust. 3, a jeżeli odpowiada za jej uszkodzenie, pokryje koszt naprawy.</w:t>
      </w:r>
    </w:p>
    <w:p>
      <w:pPr>
        <w:pStyle w:val="ListParagraph"/>
        <w:numPr>
          <w:ilvl w:val="0"/>
          <w:numId w:val="6"/>
        </w:numPr>
        <w:spacing w:after="80" w:line="288"/>
      </w:pPr>
      <w:r>
        <w:t xml:space="preserve">Jeżeli Użyczający wiedział o wadach Rzeczy i nie zawiadomił o nich Biorącego, naprawi szkodę, którą Biorący przez to poniósł, chyba że Biorący mógł wadę z łatwością zauważyć (art. 711 Kodeksu cywilnego).</w:t>
      </w:r>
    </w:p>
    <w:p>
      <w:pPr>
        <w:keepNext/>
        <w:keepLines/>
        <w:pBdr>
          <w:bottom w:val="single" w:color="C8C8CC" w:sz="6" w:space="4"/>
        </w:pBdr>
        <w:spacing w:after="120" w:before="300"/>
      </w:pPr>
      <w:r>
        <w:rPr>
          <w:b/>
          <w:bCs/>
          <w:sz w:val="24"/>
          <w:szCs w:val="24"/>
        </w:rPr>
        <w:t xml:space="preserve">§ 6  Zwrot Rzeczy</w:t>
      </w:r>
    </w:p>
    <w:p>
      <w:pPr>
        <w:pStyle w:val="ListParagraph"/>
        <w:numPr>
          <w:ilvl w:val="0"/>
          <w:numId w:val="7"/>
        </w:numPr>
        <w:spacing w:after="80" w:line="288"/>
      </w:pPr>
      <w:r>
        <w:t xml:space="preserve">Po zakończeniu umowy Biorący zwróci Użyczającemu Rzecz wraz z przedmiotami wymienionymi w § 1 ust. 2, w stanie niepogorszonym, z uwzględnieniem zużycia wynikającego z prawidłowego używania,  </w:t>
      </w:r>
      <w:sdt>
        <w:sdtPr>
          <w14:checkbox>
            <w14:checked w14:val="0"/>
            <w14:checkedState w14:val="2612" w14:font="MS Gothic"/>
            <w14:uncheckedState w14:val="2610" w14:font="MS Gothic"/>
          </w14:checkbox>
        </w:sdtPr>
        <w:sdtContent>
          <w:r>
            <w:sym w:char="2610" w:font="MS Gothic"/>
          </w:r>
        </w:sdtContent>
      </w:sdt>
      <w:r>
        <w:t xml:space="preserve"> </w:t>
      </w:r>
      <w:r>
        <w:t xml:space="preserve"> w miejscu jej wydania   </w:t>
      </w:r>
      <w:sdt>
        <w:sdtPr>
          <w14:checkbox>
            <w14:checked w14:val="0"/>
            <w14:checkedState w14:val="2612" w14:font="MS Gothic"/>
            <w14:uncheckedState w14:val="2610" w14:font="MS Gothic"/>
          </w14:checkbox>
        </w:sdtPr>
        <w:sdtContent>
          <w:r>
            <w:sym w:char="2610" w:font="MS Gothic"/>
          </w:r>
        </w:sdtContent>
      </w:sdt>
      <w:r>
        <w:t xml:space="preserve"> </w:t>
      </w:r>
      <w:r>
        <w:t xml:space="preserve"> pod adresem: ______________________________.</w:t>
      </w:r>
    </w:p>
    <w:p>
      <w:pPr>
        <w:pStyle w:val="ListParagraph"/>
        <w:numPr>
          <w:ilvl w:val="0"/>
          <w:numId w:val="7"/>
        </w:numPr>
        <w:spacing w:after="80" w:line="288"/>
      </w:pPr>
      <w:r>
        <w:t xml:space="preserve">Zwrot Rzeczy Strony potwierdzą w protokole przekazania i zwrotu (Załącznik nr 1, część B).</w:t>
      </w:r>
    </w:p>
    <w:p>
      <w:pPr>
        <w:pStyle w:val="ListParagraph"/>
        <w:numPr>
          <w:ilvl w:val="0"/>
          <w:numId w:val="7"/>
        </w:numPr>
        <w:spacing w:after="80" w:line="288"/>
      </w:pPr>
      <w:sdt>
        <w:sdtPr>
          <w14:checkbox>
            <w14:checked w14:val="0"/>
            <w14:checkedState w14:val="2612" w14:font="MS Gothic"/>
            <w14:uncheckedState w14:val="2610" w14:font="MS Gothic"/>
          </w14:checkbox>
        </w:sdtPr>
        <w:sdtContent>
          <w:r>
            <w:sym w:char="2610" w:font="MS Gothic"/>
          </w:r>
        </w:sdtContent>
      </w:sdt>
      <w:r>
        <w:t xml:space="preserve"> </w:t>
      </w:r>
      <w:r>
        <w:t xml:space="preserve"> Za każdy dzień opóźnienia w zwrocie Rzeczy Biorący zapłaci Użyczającemu karę umowną w wysokości ____________ zł.</w:t>
      </w:r>
    </w:p>
    <w:p>
      <w:pPr>
        <w:keepNext/>
        <w:keepLines/>
        <w:pBdr>
          <w:bottom w:val="single" w:color="C8C8CC" w:sz="6" w:space="4"/>
        </w:pBdr>
        <w:spacing w:after="120" w:before="300"/>
      </w:pPr>
      <w:r>
        <w:rPr>
          <w:b/>
          <w:bCs/>
          <w:sz w:val="24"/>
          <w:szCs w:val="24"/>
        </w:rPr>
        <w:t xml:space="preserve">§ 7  Postanowienia końcowe</w:t>
      </w:r>
    </w:p>
    <w:p>
      <w:pPr>
        <w:pStyle w:val="ListParagraph"/>
        <w:numPr>
          <w:ilvl w:val="0"/>
          <w:numId w:val="8"/>
        </w:numPr>
        <w:spacing w:after="80" w:line="288"/>
      </w:pPr>
      <w:r>
        <w:t xml:space="preserve">Zmiany umowy wymagają formy pisemnej pod rygorem nieważności.</w:t>
      </w:r>
    </w:p>
    <w:p>
      <w:pPr>
        <w:pStyle w:val="ListParagraph"/>
        <w:numPr>
          <w:ilvl w:val="0"/>
          <w:numId w:val="8"/>
        </w:numPr>
        <w:spacing w:after="80" w:line="288"/>
      </w:pPr>
      <w:r>
        <w:t xml:space="preserve">Jeżeli Rzecz wzięło do używania kilka osób, ich odpowiedzialność wobec Użyczającego jest solidarna (art. 717 Kodeksu cywilnego).</w:t>
      </w:r>
    </w:p>
    <w:p>
      <w:pPr>
        <w:pStyle w:val="ListParagraph"/>
        <w:numPr>
          <w:ilvl w:val="0"/>
          <w:numId w:val="8"/>
        </w:numPr>
        <w:spacing w:after="80" w:line="288"/>
      </w:pPr>
      <w:r>
        <w:t xml:space="preserve">W sprawach nieuregulowanych umową stosuje się przepisy Kodeksu cywilnego, w szczególności art. 710–719.</w:t>
      </w:r>
    </w:p>
    <w:p>
      <w:pPr>
        <w:pStyle w:val="ListParagraph"/>
        <w:numPr>
          <w:ilvl w:val="0"/>
          <w:numId w:val="8"/>
        </w:numPr>
        <w:spacing w:after="80" w:line="288"/>
      </w:pPr>
      <w:r>
        <w:t xml:space="preserve">Umowę sporządzono w dwóch jednobrzmiących egzemplarzach, po jednym dla każdej ze Stron.</w:t>
      </w:r>
    </w:p>
    <w:p>
      <w:pPr>
        <w:pStyle w:val="ListParagraph"/>
        <w:numPr>
          <w:ilvl w:val="0"/>
          <w:numId w:val="8"/>
        </w:numPr>
        <w:spacing w:after="80" w:line="288"/>
      </w:pPr>
      <w:r>
        <w:t xml:space="preserve">Załącznik nr 1: protokół przekazania i zwrotu Rzeczy.</w:t>
      </w:r>
    </w:p>
    <w:tbl>
      <w:tblPr>
        <w:tblW w:type="dxa" w:w="87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15"/>
        <w:gridCol w:w="900"/>
        <w:gridCol w:w="3915"/>
      </w:tblGrid>
      <w:tr>
        <w:trPr>
          <w:cantSplit/>
          <w:trHeight w:val="900" w:hRule="atLeast"/>
        </w:trPr>
        <w:tc>
          <w:tcPr>
            <w:tcW w:type="dxa" w:w="3915"/>
            <w:tcBorders>
              <w:top w:val="none" w:color="FFFFFF" w:sz="0"/>
              <w:left w:val="none" w:color="FFFFFF" w:sz="0"/>
              <w:bottom w:val="none" w:color="FFFFFF" w:sz="0"/>
              <w:right w:val="none" w:color="FFFFFF" w:sz="0"/>
            </w:tcBorders>
          </w:tcPr>
          <w:p>
            <w:r>
              <w:t xml:space="preserve"/>
            </w:r>
          </w:p>
        </w:tc>
        <w:tc>
          <w:tcPr>
            <w:tcW w:type="dxa" w:w="900"/>
            <w:tcBorders>
              <w:top w:val="none" w:color="FFFFFF" w:sz="0"/>
              <w:left w:val="none" w:color="FFFFFF" w:sz="0"/>
              <w:bottom w:val="none" w:color="FFFFFF" w:sz="0"/>
              <w:right w:val="none" w:color="FFFFFF" w:sz="0"/>
            </w:tcBorders>
          </w:tcPr>
          <w:p>
            <w:r>
              <w:t xml:space="preserve"/>
            </w:r>
          </w:p>
        </w:tc>
        <w:tc>
          <w:tcPr>
            <w:tcW w:type="dxa" w:w="3915"/>
            <w:tcBorders>
              <w:top w:val="none" w:color="FFFFFF" w:sz="0"/>
              <w:left w:val="none" w:color="FFFFFF" w:sz="0"/>
              <w:bottom w:val="none" w:color="FFFFFF" w:sz="0"/>
              <w:right w:val="none" w:color="FFFFFF" w:sz="0"/>
            </w:tcBorders>
          </w:tcPr>
          <w:p>
            <w:r>
              <w:t xml:space="preserve"/>
            </w:r>
          </w:p>
        </w:tc>
      </w:tr>
      <w:tr>
        <w:trPr>
          <w:cantSplit/>
        </w:trPr>
        <w:tc>
          <w:tcPr>
            <w:tcW w:type="dxa" w:w="3915"/>
            <w:tcBorders>
              <w:top w:val="single" w:color="8A8A8A" w:sz="6"/>
              <w:left w:val="none" w:color="FFFFFF" w:sz="0"/>
              <w:bottom w:val="none" w:color="FFFFFF" w:sz="0"/>
              <w:right w:val="none" w:color="FFFFFF" w:sz="0"/>
            </w:tcBorders>
          </w:tcPr>
          <w:p>
            <w:pPr>
              <w:spacing w:before="60"/>
              <w:jc w:val="center"/>
            </w:pPr>
            <w:r>
              <w:rPr>
                <w:color w:val="6B6B6B"/>
                <w:sz w:val="18"/>
                <w:szCs w:val="18"/>
              </w:rPr>
              <w:t xml:space="preserve">Użyczający</w:t>
            </w:r>
          </w:p>
        </w:tc>
        <w:tc>
          <w:tcPr>
            <w:tcW w:type="dxa" w:w="900"/>
            <w:tcBorders>
              <w:top w:val="none" w:color="FFFFFF" w:sz="0"/>
              <w:left w:val="none" w:color="FFFFFF" w:sz="0"/>
              <w:bottom w:val="none" w:color="FFFFFF" w:sz="0"/>
              <w:right w:val="none" w:color="FFFFFF" w:sz="0"/>
            </w:tcBorders>
          </w:tcPr>
          <w:p>
            <w:r>
              <w:t xml:space="preserve"/>
            </w:r>
          </w:p>
        </w:tc>
        <w:tc>
          <w:tcPr>
            <w:tcW w:type="dxa" w:w="3915"/>
            <w:tcBorders>
              <w:top w:val="single" w:color="8A8A8A" w:sz="6"/>
              <w:left w:val="none" w:color="FFFFFF" w:sz="0"/>
              <w:bottom w:val="none" w:color="FFFFFF" w:sz="0"/>
              <w:right w:val="none" w:color="FFFFFF" w:sz="0"/>
            </w:tcBorders>
          </w:tcPr>
          <w:p>
            <w:pPr>
              <w:spacing w:before="60"/>
              <w:jc w:val="center"/>
            </w:pPr>
            <w:r>
              <w:rPr>
                <w:color w:val="6B6B6B"/>
                <w:sz w:val="18"/>
                <w:szCs w:val="18"/>
              </w:rPr>
              <w:t xml:space="preserve">Biorący</w:t>
            </w:r>
          </w:p>
        </w:tc>
      </w:tr>
    </w:tbl>
    <w:p>
      <w:r>
        <w:br w:type="page"/>
      </w:r>
    </w:p>
    <w:p>
      <w:pPr>
        <w:spacing w:after="40"/>
        <w:jc w:val="center"/>
      </w:pPr>
      <w:r>
        <w:rPr>
          <w:b/>
          <w:bCs/>
          <w:sz w:val="30"/>
          <w:szCs w:val="30"/>
        </w:rPr>
        <w:t xml:space="preserve">PROTOKÓŁ PRZEKAZANIA I ZWROTU RZECZY</w:t>
      </w:r>
    </w:p>
    <w:p>
      <w:pPr>
        <w:pBdr>
          <w:bottom w:val="single" w:color="C8C8CC" w:sz="6" w:space="6"/>
        </w:pBdr>
        <w:spacing w:after="60"/>
        <w:jc w:val="center"/>
      </w:pPr>
      <w:r>
        <w:rPr>
          <w:color w:val="6B6B6B"/>
        </w:rPr>
        <w:t xml:space="preserve">Załącznik nr 1 do umowy użyczenia z dnia ____________________ r.</w:t>
      </w:r>
    </w:p>
    <w:p>
      <w:pPr>
        <w:spacing w:after="220" w:before="80"/>
        <w:jc w:val="center"/>
      </w:pPr>
      <w:r>
        <w:rPr>
          <w:i/>
          <w:iCs/>
          <w:color w:val="6B6B6B"/>
          <w:sz w:val="18"/>
          <w:szCs w:val="18"/>
        </w:rPr>
        <w:t xml:space="preserve">Część A wypełnijcie przy wydaniu Rzeczy, część B przy jej zwrocie. Zdjęcia zrobione w dniu wydania to najlepszy dowód stanu Rzeczy.</w:t>
      </w:r>
    </w:p>
    <w:p>
      <w:pPr>
        <w:keepNext/>
        <w:keepLines/>
        <w:pBdr>
          <w:bottom w:val="single" w:color="C8C8CC" w:sz="6" w:space="4"/>
        </w:pBdr>
        <w:spacing w:after="120" w:before="300"/>
      </w:pPr>
      <w:r>
        <w:rPr>
          <w:b/>
          <w:bCs/>
          <w:sz w:val="24"/>
          <w:szCs w:val="24"/>
        </w:rPr>
        <w:t xml:space="preserve">A.  Wydanie Rzeczy</w:t>
      </w:r>
    </w:p>
    <w:p>
      <w:pPr>
        <w:tabs>
          <w:tab w:val="right" w:pos="8730" w:leader="underscore"/>
        </w:tabs>
        <w:spacing w:after="70" w:line="288"/>
      </w:pPr>
      <w:r>
        <w:t xml:space="preserve">Data, godzina i miejsce wydania:  </w:t>
      </w:r>
      <w:r>
        <w:tab/>
      </w:r>
    </w:p>
    <w:tbl>
      <w:tblPr>
        <w:tblW w:type="dxa" w:w="8730"/>
        <w:tblBorders>
          <w:top w:val="single" w:color="B4B4B8" w:sz="4"/>
          <w:left w:val="single" w:color="B4B4B8" w:sz="4"/>
          <w:bottom w:val="single" w:color="B4B4B8" w:sz="4"/>
          <w:right w:val="single" w:color="B4B4B8" w:sz="4"/>
          <w:insideH w:val="single" w:color="B4B4B8" w:sz="4"/>
          <w:insideV w:val="single" w:color="B4B4B8" w:sz="4"/>
        </w:tblBorders>
        <w:tblLayout w:type="fixed"/>
      </w:tblPr>
      <w:tblGrid>
        <w:gridCol w:w="600"/>
        <w:gridCol w:w="3300"/>
        <w:gridCol w:w="1700"/>
        <w:gridCol w:w="3130"/>
      </w:tblGrid>
      <w:tr>
        <w:trPr>
          <w:cantSplit/>
          <w:tblHeader/>
        </w:trPr>
        <w:tc>
          <w:tcPr>
            <w:tcW w:type="dxa" w:w="600"/>
            <w:shd w:fill="F3F3F1" w:color="auto" w:val="clear"/>
            <w:tcMar>
              <w:top w:type="dxa" w:w="50"/>
              <w:left w:type="dxa" w:w="100"/>
              <w:bottom w:type="dxa" w:w="50"/>
              <w:right w:type="dxa" w:w="100"/>
            </w:tcMar>
            <w:vAlign w:val="center"/>
          </w:tcPr>
          <w:p>
            <w:pPr>
              <w:spacing w:after="0"/>
            </w:pPr>
            <w:r>
              <w:rPr>
                <w:b/>
                <w:bCs/>
                <w:sz w:val="18"/>
                <w:szCs w:val="18"/>
              </w:rPr>
              <w:t xml:space="preserve">Lp.</w:t>
            </w:r>
          </w:p>
        </w:tc>
        <w:tc>
          <w:tcPr>
            <w:tcW w:type="dxa" w:w="3300"/>
            <w:shd w:fill="F3F3F1" w:color="auto" w:val="clear"/>
            <w:tcMar>
              <w:top w:type="dxa" w:w="50"/>
              <w:left w:type="dxa" w:w="100"/>
              <w:bottom w:type="dxa" w:w="50"/>
              <w:right w:type="dxa" w:w="100"/>
            </w:tcMar>
            <w:vAlign w:val="center"/>
          </w:tcPr>
          <w:p>
            <w:pPr>
              <w:spacing w:after="0"/>
            </w:pPr>
            <w:r>
              <w:rPr>
                <w:b/>
                <w:bCs/>
                <w:sz w:val="18"/>
                <w:szCs w:val="18"/>
              </w:rPr>
              <w:t xml:space="preserve">Rzecz, akcesoria i dokumenty</w:t>
            </w:r>
          </w:p>
        </w:tc>
        <w:tc>
          <w:tcPr>
            <w:tcW w:type="dxa" w:w="1700"/>
            <w:shd w:fill="F3F3F1" w:color="auto" w:val="clear"/>
            <w:tcMar>
              <w:top w:type="dxa" w:w="50"/>
              <w:left w:type="dxa" w:w="100"/>
              <w:bottom w:type="dxa" w:w="50"/>
              <w:right w:type="dxa" w:w="100"/>
            </w:tcMar>
            <w:vAlign w:val="center"/>
          </w:tcPr>
          <w:p>
            <w:pPr>
              <w:spacing w:after="0"/>
            </w:pPr>
            <w:r>
              <w:rPr>
                <w:b/>
                <w:bCs/>
                <w:sz w:val="18"/>
                <w:szCs w:val="18"/>
              </w:rPr>
              <w:t xml:space="preserve">Nr seryjny</w:t>
            </w:r>
          </w:p>
        </w:tc>
        <w:tc>
          <w:tcPr>
            <w:tcW w:type="dxa" w:w="3130"/>
            <w:shd w:fill="F3F3F1" w:color="auto" w:val="clear"/>
            <w:tcMar>
              <w:top w:type="dxa" w:w="50"/>
              <w:left w:type="dxa" w:w="100"/>
              <w:bottom w:type="dxa" w:w="50"/>
              <w:right w:type="dxa" w:w="100"/>
            </w:tcMar>
            <w:vAlign w:val="center"/>
          </w:tcPr>
          <w:p>
            <w:pPr>
              <w:spacing w:after="0"/>
            </w:pPr>
            <w:r>
              <w:rPr>
                <w:b/>
                <w:bCs/>
                <w:sz w:val="18"/>
                <w:szCs w:val="18"/>
              </w:rPr>
              <w:t xml:space="preserve">Stan, uszkodzenia, uwagi</w:t>
            </w:r>
          </w:p>
        </w:tc>
      </w:tr>
      <w:tr>
        <w:trPr>
          <w:cantSplit/>
          <w:trHeight w:val="420" w:hRule="atLeast"/>
        </w:trPr>
        <w:tc>
          <w:tcPr>
            <w:tcW w:type="dxa" w:w="600"/>
            <w:tcMar>
              <w:top w:type="dxa" w:w="50"/>
              <w:left w:type="dxa" w:w="100"/>
              <w:bottom w:type="dxa" w:w="50"/>
              <w:right w:type="dxa" w:w="100"/>
            </w:tcMar>
            <w:vAlign w:val="center"/>
          </w:tcPr>
          <w:p>
            <w:pPr>
              <w:spacing w:after="0"/>
            </w:pPr>
            <w:r>
              <w:rPr>
                <w:sz w:val="20"/>
                <w:szCs w:val="20"/>
              </w:rPr>
              <w:t xml:space="preserve">1</w:t>
            </w:r>
          </w:p>
        </w:tc>
        <w:tc>
          <w:tcPr>
            <w:tcW w:type="dxa" w:w="3300"/>
            <w:tcMar>
              <w:top w:type="dxa" w:w="50"/>
              <w:left w:type="dxa" w:w="100"/>
              <w:bottom w:type="dxa" w:w="50"/>
              <w:right w:type="dxa" w:w="100"/>
            </w:tcMar>
            <w:vAlign w:val="center"/>
          </w:tcPr>
          <w:p>
            <w:pPr>
              <w:spacing w:after="0"/>
            </w:pPr>
          </w:p>
        </w:tc>
        <w:tc>
          <w:tcPr>
            <w:tcW w:type="dxa" w:w="1700"/>
            <w:tcMar>
              <w:top w:type="dxa" w:w="50"/>
              <w:left w:type="dxa" w:w="100"/>
              <w:bottom w:type="dxa" w:w="50"/>
              <w:right w:type="dxa" w:w="100"/>
            </w:tcMar>
            <w:vAlign w:val="center"/>
          </w:tcPr>
          <w:p>
            <w:pPr>
              <w:spacing w:after="0"/>
            </w:pPr>
          </w:p>
        </w:tc>
        <w:tc>
          <w:tcPr>
            <w:tcW w:type="dxa" w:w="3130"/>
            <w:tcMar>
              <w:top w:type="dxa" w:w="50"/>
              <w:left w:type="dxa" w:w="100"/>
              <w:bottom w:type="dxa" w:w="50"/>
              <w:right w:type="dxa" w:w="100"/>
            </w:tcMar>
            <w:vAlign w:val="center"/>
          </w:tcPr>
          <w:p>
            <w:pPr>
              <w:spacing w:after="0"/>
            </w:pPr>
          </w:p>
        </w:tc>
      </w:tr>
      <w:tr>
        <w:trPr>
          <w:cantSplit/>
          <w:trHeight w:val="420" w:hRule="atLeast"/>
        </w:trPr>
        <w:tc>
          <w:tcPr>
            <w:tcW w:type="dxa" w:w="600"/>
            <w:tcMar>
              <w:top w:type="dxa" w:w="50"/>
              <w:left w:type="dxa" w:w="100"/>
              <w:bottom w:type="dxa" w:w="50"/>
              <w:right w:type="dxa" w:w="100"/>
            </w:tcMar>
            <w:vAlign w:val="center"/>
          </w:tcPr>
          <w:p>
            <w:pPr>
              <w:spacing w:after="0"/>
            </w:pPr>
            <w:r>
              <w:rPr>
                <w:sz w:val="20"/>
                <w:szCs w:val="20"/>
              </w:rPr>
              <w:t xml:space="preserve">2</w:t>
            </w:r>
          </w:p>
        </w:tc>
        <w:tc>
          <w:tcPr>
            <w:tcW w:type="dxa" w:w="3300"/>
            <w:tcMar>
              <w:top w:type="dxa" w:w="50"/>
              <w:left w:type="dxa" w:w="100"/>
              <w:bottom w:type="dxa" w:w="50"/>
              <w:right w:type="dxa" w:w="100"/>
            </w:tcMar>
            <w:vAlign w:val="center"/>
          </w:tcPr>
          <w:p>
            <w:pPr>
              <w:spacing w:after="0"/>
            </w:pPr>
          </w:p>
        </w:tc>
        <w:tc>
          <w:tcPr>
            <w:tcW w:type="dxa" w:w="1700"/>
            <w:tcMar>
              <w:top w:type="dxa" w:w="50"/>
              <w:left w:type="dxa" w:w="100"/>
              <w:bottom w:type="dxa" w:w="50"/>
              <w:right w:type="dxa" w:w="100"/>
            </w:tcMar>
            <w:vAlign w:val="center"/>
          </w:tcPr>
          <w:p>
            <w:pPr>
              <w:spacing w:after="0"/>
            </w:pPr>
          </w:p>
        </w:tc>
        <w:tc>
          <w:tcPr>
            <w:tcW w:type="dxa" w:w="3130"/>
            <w:tcMar>
              <w:top w:type="dxa" w:w="50"/>
              <w:left w:type="dxa" w:w="100"/>
              <w:bottom w:type="dxa" w:w="50"/>
              <w:right w:type="dxa" w:w="100"/>
            </w:tcMar>
            <w:vAlign w:val="center"/>
          </w:tcPr>
          <w:p>
            <w:pPr>
              <w:spacing w:after="0"/>
            </w:pPr>
          </w:p>
        </w:tc>
      </w:tr>
      <w:tr>
        <w:trPr>
          <w:cantSplit/>
          <w:trHeight w:val="420" w:hRule="atLeast"/>
        </w:trPr>
        <w:tc>
          <w:tcPr>
            <w:tcW w:type="dxa" w:w="600"/>
            <w:tcMar>
              <w:top w:type="dxa" w:w="50"/>
              <w:left w:type="dxa" w:w="100"/>
              <w:bottom w:type="dxa" w:w="50"/>
              <w:right w:type="dxa" w:w="100"/>
            </w:tcMar>
            <w:vAlign w:val="center"/>
          </w:tcPr>
          <w:p>
            <w:pPr>
              <w:spacing w:after="0"/>
            </w:pPr>
            <w:r>
              <w:rPr>
                <w:sz w:val="20"/>
                <w:szCs w:val="20"/>
              </w:rPr>
              <w:t xml:space="preserve">3</w:t>
            </w:r>
          </w:p>
        </w:tc>
        <w:tc>
          <w:tcPr>
            <w:tcW w:type="dxa" w:w="3300"/>
            <w:tcMar>
              <w:top w:type="dxa" w:w="50"/>
              <w:left w:type="dxa" w:w="100"/>
              <w:bottom w:type="dxa" w:w="50"/>
              <w:right w:type="dxa" w:w="100"/>
            </w:tcMar>
            <w:vAlign w:val="center"/>
          </w:tcPr>
          <w:p>
            <w:pPr>
              <w:spacing w:after="0"/>
            </w:pPr>
          </w:p>
        </w:tc>
        <w:tc>
          <w:tcPr>
            <w:tcW w:type="dxa" w:w="1700"/>
            <w:tcMar>
              <w:top w:type="dxa" w:w="50"/>
              <w:left w:type="dxa" w:w="100"/>
              <w:bottom w:type="dxa" w:w="50"/>
              <w:right w:type="dxa" w:w="100"/>
            </w:tcMar>
            <w:vAlign w:val="center"/>
          </w:tcPr>
          <w:p>
            <w:pPr>
              <w:spacing w:after="0"/>
            </w:pPr>
          </w:p>
        </w:tc>
        <w:tc>
          <w:tcPr>
            <w:tcW w:type="dxa" w:w="3130"/>
            <w:tcMar>
              <w:top w:type="dxa" w:w="50"/>
              <w:left w:type="dxa" w:w="100"/>
              <w:bottom w:type="dxa" w:w="50"/>
              <w:right w:type="dxa" w:w="100"/>
            </w:tcMar>
            <w:vAlign w:val="center"/>
          </w:tcPr>
          <w:p>
            <w:pPr>
              <w:spacing w:after="0"/>
            </w:pPr>
          </w:p>
        </w:tc>
      </w:tr>
      <w:tr>
        <w:trPr>
          <w:cantSplit/>
          <w:trHeight w:val="420" w:hRule="atLeast"/>
        </w:trPr>
        <w:tc>
          <w:tcPr>
            <w:tcW w:type="dxa" w:w="600"/>
            <w:tcMar>
              <w:top w:type="dxa" w:w="50"/>
              <w:left w:type="dxa" w:w="100"/>
              <w:bottom w:type="dxa" w:w="50"/>
              <w:right w:type="dxa" w:w="100"/>
            </w:tcMar>
            <w:vAlign w:val="center"/>
          </w:tcPr>
          <w:p>
            <w:pPr>
              <w:spacing w:after="0"/>
            </w:pPr>
            <w:r>
              <w:rPr>
                <w:sz w:val="20"/>
                <w:szCs w:val="20"/>
              </w:rPr>
              <w:t xml:space="preserve">4</w:t>
            </w:r>
          </w:p>
        </w:tc>
        <w:tc>
          <w:tcPr>
            <w:tcW w:type="dxa" w:w="3300"/>
            <w:tcMar>
              <w:top w:type="dxa" w:w="50"/>
              <w:left w:type="dxa" w:w="100"/>
              <w:bottom w:type="dxa" w:w="50"/>
              <w:right w:type="dxa" w:w="100"/>
            </w:tcMar>
            <w:vAlign w:val="center"/>
          </w:tcPr>
          <w:p>
            <w:pPr>
              <w:spacing w:after="0"/>
            </w:pPr>
          </w:p>
        </w:tc>
        <w:tc>
          <w:tcPr>
            <w:tcW w:type="dxa" w:w="1700"/>
            <w:tcMar>
              <w:top w:type="dxa" w:w="50"/>
              <w:left w:type="dxa" w:w="100"/>
              <w:bottom w:type="dxa" w:w="50"/>
              <w:right w:type="dxa" w:w="100"/>
            </w:tcMar>
            <w:vAlign w:val="center"/>
          </w:tcPr>
          <w:p>
            <w:pPr>
              <w:spacing w:after="0"/>
            </w:pPr>
          </w:p>
        </w:tc>
        <w:tc>
          <w:tcPr>
            <w:tcW w:type="dxa" w:w="3130"/>
            <w:tcMar>
              <w:top w:type="dxa" w:w="50"/>
              <w:left w:type="dxa" w:w="100"/>
              <w:bottom w:type="dxa" w:w="50"/>
              <w:right w:type="dxa" w:w="100"/>
            </w:tcMar>
            <w:vAlign w:val="center"/>
          </w:tcPr>
          <w:p>
            <w:pPr>
              <w:spacing w:after="0"/>
            </w:pPr>
          </w:p>
        </w:tc>
      </w:tr>
      <w:tr>
        <w:trPr>
          <w:cantSplit/>
          <w:trHeight w:val="420" w:hRule="atLeast"/>
        </w:trPr>
        <w:tc>
          <w:tcPr>
            <w:tcW w:type="dxa" w:w="600"/>
            <w:tcMar>
              <w:top w:type="dxa" w:w="50"/>
              <w:left w:type="dxa" w:w="100"/>
              <w:bottom w:type="dxa" w:w="50"/>
              <w:right w:type="dxa" w:w="100"/>
            </w:tcMar>
            <w:vAlign w:val="center"/>
          </w:tcPr>
          <w:p>
            <w:pPr>
              <w:spacing w:after="0"/>
            </w:pPr>
            <w:r>
              <w:rPr>
                <w:sz w:val="20"/>
                <w:szCs w:val="20"/>
              </w:rPr>
              <w:t xml:space="preserve">5</w:t>
            </w:r>
          </w:p>
        </w:tc>
        <w:tc>
          <w:tcPr>
            <w:tcW w:type="dxa" w:w="3300"/>
            <w:tcMar>
              <w:top w:type="dxa" w:w="50"/>
              <w:left w:type="dxa" w:w="100"/>
              <w:bottom w:type="dxa" w:w="50"/>
              <w:right w:type="dxa" w:w="100"/>
            </w:tcMar>
            <w:vAlign w:val="center"/>
          </w:tcPr>
          <w:p>
            <w:pPr>
              <w:spacing w:after="0"/>
            </w:pPr>
          </w:p>
        </w:tc>
        <w:tc>
          <w:tcPr>
            <w:tcW w:type="dxa" w:w="1700"/>
            <w:tcMar>
              <w:top w:type="dxa" w:w="50"/>
              <w:left w:type="dxa" w:w="100"/>
              <w:bottom w:type="dxa" w:w="50"/>
              <w:right w:type="dxa" w:w="100"/>
            </w:tcMar>
            <w:vAlign w:val="center"/>
          </w:tcPr>
          <w:p>
            <w:pPr>
              <w:spacing w:after="0"/>
            </w:pPr>
          </w:p>
        </w:tc>
        <w:tc>
          <w:tcPr>
            <w:tcW w:type="dxa" w:w="3130"/>
            <w:tcMar>
              <w:top w:type="dxa" w:w="50"/>
              <w:left w:type="dxa" w:w="100"/>
              <w:bottom w:type="dxa" w:w="50"/>
              <w:right w:type="dxa" w:w="100"/>
            </w:tcMar>
            <w:vAlign w:val="center"/>
          </w:tcPr>
          <w:p>
            <w:pPr>
              <w:spacing w:after="0"/>
            </w:pPr>
          </w:p>
        </w:tc>
      </w:tr>
      <w:tr>
        <w:trPr>
          <w:cantSplit/>
          <w:trHeight w:val="420" w:hRule="atLeast"/>
        </w:trPr>
        <w:tc>
          <w:tcPr>
            <w:tcW w:type="dxa" w:w="600"/>
            <w:tcMar>
              <w:top w:type="dxa" w:w="50"/>
              <w:left w:type="dxa" w:w="100"/>
              <w:bottom w:type="dxa" w:w="50"/>
              <w:right w:type="dxa" w:w="100"/>
            </w:tcMar>
            <w:vAlign w:val="center"/>
          </w:tcPr>
          <w:p>
            <w:pPr>
              <w:spacing w:after="0"/>
            </w:pPr>
            <w:r>
              <w:rPr>
                <w:sz w:val="20"/>
                <w:szCs w:val="20"/>
              </w:rPr>
              <w:t xml:space="preserve">6</w:t>
            </w:r>
          </w:p>
        </w:tc>
        <w:tc>
          <w:tcPr>
            <w:tcW w:type="dxa" w:w="3300"/>
            <w:tcMar>
              <w:top w:type="dxa" w:w="50"/>
              <w:left w:type="dxa" w:w="100"/>
              <w:bottom w:type="dxa" w:w="50"/>
              <w:right w:type="dxa" w:w="100"/>
            </w:tcMar>
            <w:vAlign w:val="center"/>
          </w:tcPr>
          <w:p>
            <w:pPr>
              <w:spacing w:after="0"/>
            </w:pPr>
          </w:p>
        </w:tc>
        <w:tc>
          <w:tcPr>
            <w:tcW w:type="dxa" w:w="1700"/>
            <w:tcMar>
              <w:top w:type="dxa" w:w="50"/>
              <w:left w:type="dxa" w:w="100"/>
              <w:bottom w:type="dxa" w:w="50"/>
              <w:right w:type="dxa" w:w="100"/>
            </w:tcMar>
            <w:vAlign w:val="center"/>
          </w:tcPr>
          <w:p>
            <w:pPr>
              <w:spacing w:after="0"/>
            </w:pPr>
          </w:p>
        </w:tc>
        <w:tc>
          <w:tcPr>
            <w:tcW w:type="dxa" w:w="3130"/>
            <w:tcMar>
              <w:top w:type="dxa" w:w="50"/>
              <w:left w:type="dxa" w:w="100"/>
              <w:bottom w:type="dxa" w:w="50"/>
              <w:right w:type="dxa" w:w="100"/>
            </w:tcMar>
            <w:vAlign w:val="center"/>
          </w:tcPr>
          <w:p>
            <w:pPr>
              <w:spacing w:after="0"/>
            </w:pPr>
          </w:p>
        </w:tc>
      </w:tr>
    </w:tbl>
    <w:p>
      <w:pPr>
        <w:spacing w:after="80" w:before="140" w:line="288"/>
      </w:pPr>
      <w:sdt>
        <w:sdtPr>
          <w14:checkbox>
            <w14:checked w14:val="0"/>
            <w14:checkedState w14:val="2612" w14:font="MS Gothic"/>
            <w14:uncheckedState w14:val="2610" w14:font="MS Gothic"/>
          </w14:checkbox>
        </w:sdtPr>
        <w:sdtContent>
          <w:r>
            <w:sym w:char="2610" w:font="MS Gothic"/>
          </w:r>
        </w:sdtContent>
      </w:sdt>
      <w:r>
        <w:t xml:space="preserve"> </w:t>
      </w:r>
      <w:r>
        <w:t xml:space="preserve"> Strony wykonały ______ zdjęć Rzeczy, które zachowuje każda ze Stron.</w:t>
      </w:r>
    </w:p>
    <w:p>
      <w:pPr>
        <w:tabs>
          <w:tab w:val="right" w:pos="8730" w:leader="underscore"/>
        </w:tabs>
        <w:spacing w:after="70" w:line="288"/>
      </w:pPr>
      <w:r>
        <w:t xml:space="preserve">Uwagi:  </w:t>
      </w:r>
      <w:r>
        <w:tab/>
      </w:r>
    </w:p>
    <w:tbl>
      <w:tblPr>
        <w:tblW w:type="dxa" w:w="87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15"/>
        <w:gridCol w:w="900"/>
        <w:gridCol w:w="3915"/>
      </w:tblGrid>
      <w:tr>
        <w:trPr>
          <w:cantSplit/>
          <w:trHeight w:val="700" w:hRule="atLeast"/>
        </w:trPr>
        <w:tc>
          <w:tcPr>
            <w:tcW w:type="dxa" w:w="3915"/>
            <w:tcBorders>
              <w:top w:val="none" w:color="FFFFFF" w:sz="0"/>
              <w:left w:val="none" w:color="FFFFFF" w:sz="0"/>
              <w:bottom w:val="none" w:color="FFFFFF" w:sz="0"/>
              <w:right w:val="none" w:color="FFFFFF" w:sz="0"/>
            </w:tcBorders>
          </w:tcPr>
          <w:p>
            <w:r>
              <w:t xml:space="preserve"/>
            </w:r>
          </w:p>
        </w:tc>
        <w:tc>
          <w:tcPr>
            <w:tcW w:type="dxa" w:w="900"/>
            <w:tcBorders>
              <w:top w:val="none" w:color="FFFFFF" w:sz="0"/>
              <w:left w:val="none" w:color="FFFFFF" w:sz="0"/>
              <w:bottom w:val="none" w:color="FFFFFF" w:sz="0"/>
              <w:right w:val="none" w:color="FFFFFF" w:sz="0"/>
            </w:tcBorders>
          </w:tcPr>
          <w:p>
            <w:r>
              <w:t xml:space="preserve"/>
            </w:r>
          </w:p>
        </w:tc>
        <w:tc>
          <w:tcPr>
            <w:tcW w:type="dxa" w:w="3915"/>
            <w:tcBorders>
              <w:top w:val="none" w:color="FFFFFF" w:sz="0"/>
              <w:left w:val="none" w:color="FFFFFF" w:sz="0"/>
              <w:bottom w:val="none" w:color="FFFFFF" w:sz="0"/>
              <w:right w:val="none" w:color="FFFFFF" w:sz="0"/>
            </w:tcBorders>
          </w:tcPr>
          <w:p>
            <w:r>
              <w:t xml:space="preserve"/>
            </w:r>
          </w:p>
        </w:tc>
      </w:tr>
      <w:tr>
        <w:trPr>
          <w:cantSplit/>
        </w:trPr>
        <w:tc>
          <w:tcPr>
            <w:tcW w:type="dxa" w:w="3915"/>
            <w:tcBorders>
              <w:top w:val="single" w:color="8A8A8A" w:sz="6"/>
              <w:left w:val="none" w:color="FFFFFF" w:sz="0"/>
              <w:bottom w:val="none" w:color="FFFFFF" w:sz="0"/>
              <w:right w:val="none" w:color="FFFFFF" w:sz="0"/>
            </w:tcBorders>
          </w:tcPr>
          <w:p>
            <w:pPr>
              <w:spacing w:before="60"/>
              <w:jc w:val="center"/>
            </w:pPr>
            <w:r>
              <w:rPr>
                <w:color w:val="6B6B6B"/>
                <w:sz w:val="18"/>
                <w:szCs w:val="18"/>
              </w:rPr>
              <w:t xml:space="preserve">Użyczający (wydał)</w:t>
            </w:r>
          </w:p>
        </w:tc>
        <w:tc>
          <w:tcPr>
            <w:tcW w:type="dxa" w:w="900"/>
            <w:tcBorders>
              <w:top w:val="none" w:color="FFFFFF" w:sz="0"/>
              <w:left w:val="none" w:color="FFFFFF" w:sz="0"/>
              <w:bottom w:val="none" w:color="FFFFFF" w:sz="0"/>
              <w:right w:val="none" w:color="FFFFFF" w:sz="0"/>
            </w:tcBorders>
          </w:tcPr>
          <w:p>
            <w:r>
              <w:t xml:space="preserve"/>
            </w:r>
          </w:p>
        </w:tc>
        <w:tc>
          <w:tcPr>
            <w:tcW w:type="dxa" w:w="3915"/>
            <w:tcBorders>
              <w:top w:val="single" w:color="8A8A8A" w:sz="6"/>
              <w:left w:val="none" w:color="FFFFFF" w:sz="0"/>
              <w:bottom w:val="none" w:color="FFFFFF" w:sz="0"/>
              <w:right w:val="none" w:color="FFFFFF" w:sz="0"/>
            </w:tcBorders>
          </w:tcPr>
          <w:p>
            <w:pPr>
              <w:spacing w:before="60"/>
              <w:jc w:val="center"/>
            </w:pPr>
            <w:r>
              <w:rPr>
                <w:color w:val="6B6B6B"/>
                <w:sz w:val="18"/>
                <w:szCs w:val="18"/>
              </w:rPr>
              <w:t xml:space="preserve">Biorący (odebrał)</w:t>
            </w:r>
          </w:p>
        </w:tc>
      </w:tr>
    </w:tbl>
    <w:p>
      <w:pPr>
        <w:keepNext/>
        <w:keepLines/>
        <w:pBdr>
          <w:bottom w:val="single" w:color="C8C8CC" w:sz="6" w:space="4"/>
        </w:pBdr>
        <w:spacing w:after="120" w:before="300"/>
      </w:pPr>
      <w:r>
        <w:rPr>
          <w:b/>
          <w:bCs/>
          <w:sz w:val="24"/>
          <w:szCs w:val="24"/>
        </w:rPr>
        <w:t xml:space="preserve">B.  Zwrot Rzeczy</w:t>
      </w:r>
    </w:p>
    <w:p>
      <w:pPr>
        <w:tabs>
          <w:tab w:val="right" w:pos="8730" w:leader="underscore"/>
        </w:tabs>
        <w:spacing w:after="70" w:line="288"/>
      </w:pPr>
      <w:r>
        <w:t xml:space="preserve">Data, godzina i miejsce zwrotu:  </w:t>
      </w:r>
      <w:r>
        <w:tab/>
      </w:r>
    </w:p>
    <w:p>
      <w:pPr>
        <w:spacing w:after="60" w:line="288"/>
      </w:pPr>
      <w:r>
        <w:t xml:space="preserve">Rzecz wraz z akcesoriami i dokumentami wymienionymi w części A została zwrócona:</w:t>
      </w:r>
    </w:p>
    <w:p>
      <w:pPr>
        <w:spacing w:after="60" w:line="288"/>
        <w:ind w:left="397"/>
      </w:pPr>
      <w:sdt>
        <w:sdtPr>
          <w14:checkbox>
            <w14:checked w14:val="0"/>
            <w14:checkedState w14:val="2612" w14:font="MS Gothic"/>
            <w14:uncheckedState w14:val="2610" w14:font="MS Gothic"/>
          </w14:checkbox>
        </w:sdtPr>
        <w:sdtContent>
          <w:r>
            <w:sym w:char="2610" w:font="MS Gothic"/>
          </w:r>
        </w:sdtContent>
      </w:sdt>
      <w:r>
        <w:t xml:space="preserve"> </w:t>
      </w:r>
      <w:r>
        <w:t xml:space="preserve"> bez zastrzeżeń,</w:t>
      </w:r>
    </w:p>
    <w:p>
      <w:pPr>
        <w:tabs>
          <w:tab w:val="right" w:pos="8730" w:leader="underscore"/>
        </w:tabs>
        <w:spacing w:after="60" w:line="288"/>
        <w:ind w:left="397"/>
      </w:pPr>
      <w:sdt>
        <w:sdtPr>
          <w14:checkbox>
            <w14:checked w14:val="0"/>
            <w14:checkedState w14:val="2612" w14:font="MS Gothic"/>
            <w14:uncheckedState w14:val="2610" w14:font="MS Gothic"/>
          </w14:checkbox>
        </w:sdtPr>
        <w:sdtContent>
          <w:r>
            <w:sym w:char="2610" w:font="MS Gothic"/>
          </w:r>
        </w:sdtContent>
      </w:sdt>
      <w:r>
        <w:t xml:space="preserve"> </w:t>
      </w:r>
      <w:r>
        <w:t xml:space="preserve"> z następującymi brakami lub uszkodzeniami: </w:t>
      </w:r>
      <w:r>
        <w:tab/>
      </w:r>
    </w:p>
    <w:p>
      <w:pPr>
        <w:tabs>
          <w:tab w:val="right" w:pos="8730" w:leader="underscore"/>
        </w:tabs>
        <w:spacing w:after="70" w:line="288"/>
        <w:ind w:left="397"/>
      </w:pPr>
      <w:r>
        <w:tab/>
      </w:r>
    </w:p>
    <w:tbl>
      <w:tblPr>
        <w:tblW w:type="dxa" w:w="87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15"/>
        <w:gridCol w:w="900"/>
        <w:gridCol w:w="3915"/>
      </w:tblGrid>
      <w:tr>
        <w:trPr>
          <w:cantSplit/>
          <w:trHeight w:val="700" w:hRule="atLeast"/>
        </w:trPr>
        <w:tc>
          <w:tcPr>
            <w:tcW w:type="dxa" w:w="3915"/>
            <w:tcBorders>
              <w:top w:val="none" w:color="FFFFFF" w:sz="0"/>
              <w:left w:val="none" w:color="FFFFFF" w:sz="0"/>
              <w:bottom w:val="none" w:color="FFFFFF" w:sz="0"/>
              <w:right w:val="none" w:color="FFFFFF" w:sz="0"/>
            </w:tcBorders>
          </w:tcPr>
          <w:p>
            <w:r>
              <w:t xml:space="preserve"/>
            </w:r>
          </w:p>
        </w:tc>
        <w:tc>
          <w:tcPr>
            <w:tcW w:type="dxa" w:w="900"/>
            <w:tcBorders>
              <w:top w:val="none" w:color="FFFFFF" w:sz="0"/>
              <w:left w:val="none" w:color="FFFFFF" w:sz="0"/>
              <w:bottom w:val="none" w:color="FFFFFF" w:sz="0"/>
              <w:right w:val="none" w:color="FFFFFF" w:sz="0"/>
            </w:tcBorders>
          </w:tcPr>
          <w:p>
            <w:r>
              <w:t xml:space="preserve"/>
            </w:r>
          </w:p>
        </w:tc>
        <w:tc>
          <w:tcPr>
            <w:tcW w:type="dxa" w:w="3915"/>
            <w:tcBorders>
              <w:top w:val="none" w:color="FFFFFF" w:sz="0"/>
              <w:left w:val="none" w:color="FFFFFF" w:sz="0"/>
              <w:bottom w:val="none" w:color="FFFFFF" w:sz="0"/>
              <w:right w:val="none" w:color="FFFFFF" w:sz="0"/>
            </w:tcBorders>
          </w:tcPr>
          <w:p>
            <w:r>
              <w:t xml:space="preserve"/>
            </w:r>
          </w:p>
        </w:tc>
      </w:tr>
      <w:tr>
        <w:trPr>
          <w:cantSplit/>
        </w:trPr>
        <w:tc>
          <w:tcPr>
            <w:tcW w:type="dxa" w:w="3915"/>
            <w:tcBorders>
              <w:top w:val="single" w:color="8A8A8A" w:sz="6"/>
              <w:left w:val="none" w:color="FFFFFF" w:sz="0"/>
              <w:bottom w:val="none" w:color="FFFFFF" w:sz="0"/>
              <w:right w:val="none" w:color="FFFFFF" w:sz="0"/>
            </w:tcBorders>
          </w:tcPr>
          <w:p>
            <w:pPr>
              <w:spacing w:before="60"/>
              <w:jc w:val="center"/>
            </w:pPr>
            <w:r>
              <w:rPr>
                <w:color w:val="6B6B6B"/>
                <w:sz w:val="18"/>
                <w:szCs w:val="18"/>
              </w:rPr>
              <w:t xml:space="preserve">Użyczający (odebrał)</w:t>
            </w:r>
          </w:p>
        </w:tc>
        <w:tc>
          <w:tcPr>
            <w:tcW w:type="dxa" w:w="900"/>
            <w:tcBorders>
              <w:top w:val="none" w:color="FFFFFF" w:sz="0"/>
              <w:left w:val="none" w:color="FFFFFF" w:sz="0"/>
              <w:bottom w:val="none" w:color="FFFFFF" w:sz="0"/>
              <w:right w:val="none" w:color="FFFFFF" w:sz="0"/>
            </w:tcBorders>
          </w:tcPr>
          <w:p>
            <w:r>
              <w:t xml:space="preserve"/>
            </w:r>
          </w:p>
        </w:tc>
        <w:tc>
          <w:tcPr>
            <w:tcW w:type="dxa" w:w="3915"/>
            <w:tcBorders>
              <w:top w:val="single" w:color="8A8A8A" w:sz="6"/>
              <w:left w:val="none" w:color="FFFFFF" w:sz="0"/>
              <w:bottom w:val="none" w:color="FFFFFF" w:sz="0"/>
              <w:right w:val="none" w:color="FFFFFF" w:sz="0"/>
            </w:tcBorders>
          </w:tcPr>
          <w:p>
            <w:pPr>
              <w:spacing w:before="60"/>
              <w:jc w:val="center"/>
            </w:pPr>
            <w:r>
              <w:rPr>
                <w:color w:val="6B6B6B"/>
                <w:sz w:val="18"/>
                <w:szCs w:val="18"/>
              </w:rPr>
              <w:t xml:space="preserve">Biorący (zwrócił)</w:t>
            </w:r>
          </w:p>
        </w:tc>
      </w:tr>
    </w:tbl>
    <w:p>
      <w:r>
        <w:br w:type="page"/>
      </w:r>
    </w:p>
    <w:p>
      <w:pPr>
        <w:spacing w:after="40"/>
      </w:pPr>
      <w:r>
        <w:rPr>
          <w:b/>
          <w:bCs/>
          <w:sz w:val="26"/>
          <w:szCs w:val="26"/>
        </w:rPr>
        <w:t xml:space="preserve">Wskazówki do wzoru umowy użyczenia</w:t>
      </w:r>
    </w:p>
    <w:p>
      <w:pPr>
        <w:pBdr>
          <w:bottom w:val="single" w:color="C8C8CC" w:sz="6" w:space="6"/>
        </w:pBdr>
        <w:spacing w:after="200"/>
      </w:pPr>
      <w:r>
        <w:rPr>
          <w:i/>
          <w:iCs/>
          <w:color w:val="6B6B6B"/>
          <w:sz w:val="18"/>
          <w:szCs w:val="18"/>
        </w:rPr>
        <w:t xml:space="preserve">Ta strona nie jest częścią umowy. Usuń ją przed wydrukiem i nie podpisuj jej.</w:t>
      </w:r>
    </w:p>
    <w:p>
      <w:pPr>
        <w:pStyle w:val="ListParagraph"/>
        <w:numPr>
          <w:ilvl w:val="0"/>
          <w:numId w:val="9"/>
        </w:numPr>
        <w:spacing w:after="100" w:line="276"/>
      </w:pPr>
      <w:r>
        <w:rPr>
          <w:sz w:val="20"/>
          <w:szCs w:val="20"/>
        </w:rPr>
        <w:t xml:space="preserve">Użyczenie jest zawsze bezpłatne (art. 710 Kodeksu cywilnego). Jeśli Biorący ma płacić cokolwiek ponad zwykłe koszty utrzymania rzeczy, np. stałą kwotę za każdy miesiąc, strony zawierają w rzeczywistości umowę najmu.</w:t>
      </w:r>
    </w:p>
    <w:p>
      <w:pPr>
        <w:pStyle w:val="ListParagraph"/>
        <w:numPr>
          <w:ilvl w:val="0"/>
          <w:numId w:val="9"/>
        </w:numPr>
        <w:spacing w:after="100" w:line="276"/>
      </w:pPr>
      <w:r>
        <w:rPr>
          <w:sz w:val="20"/>
          <w:szCs w:val="20"/>
        </w:rPr>
        <w:t xml:space="preserve">Opisz rzecz tak, żeby nie dało się jej pomylić z inną: marka, model, numer seryjny, kolor, znaki szczególne. Przy droższym sprzęcie zróbcie zdjęcia w dniu wydania.</w:t>
      </w:r>
    </w:p>
    <w:p>
      <w:pPr>
        <w:pStyle w:val="ListParagraph"/>
        <w:numPr>
          <w:ilvl w:val="0"/>
          <w:numId w:val="9"/>
        </w:numPr>
        <w:spacing w:after="100" w:line="276"/>
      </w:pPr>
      <w:r>
        <w:rPr>
          <w:sz w:val="20"/>
          <w:szCs w:val="20"/>
        </w:rPr>
        <w:t xml:space="preserve">Wpisz wartość rzeczy w § 1 ust. 3. Unikniecie sporu o wysokość odszkodowania, gdyby rzecz zginęła z winy Biorącego.</w:t>
      </w:r>
    </w:p>
    <w:p>
      <w:pPr>
        <w:pStyle w:val="ListParagraph"/>
        <w:numPr>
          <w:ilvl w:val="0"/>
          <w:numId w:val="9"/>
        </w:numPr>
        <w:spacing w:after="100" w:line="276"/>
      </w:pPr>
      <w:r>
        <w:rPr>
          <w:sz w:val="20"/>
          <w:szCs w:val="20"/>
        </w:rPr>
        <w:t xml:space="preserve">Przy umowie na czas nieoznaczony wpisz termin wypowiedzenia. Bez niego umowa kończy się dopiero wtedy, gdy Biorący zrobi z rzeczy umówiony użytek albo minie czas, w którym mógł go zrobić (art. 715 KC), a w razie sporu trzeba ustalać, kiedy to nastąpiło.</w:t>
      </w:r>
    </w:p>
    <w:p>
      <w:pPr>
        <w:pStyle w:val="ListParagraph"/>
        <w:numPr>
          <w:ilvl w:val="0"/>
          <w:numId w:val="9"/>
        </w:numPr>
        <w:spacing w:after="100" w:line="276"/>
      </w:pPr>
      <w:r>
        <w:rPr>
          <w:sz w:val="20"/>
          <w:szCs w:val="20"/>
        </w:rPr>
        <w:t xml:space="preserve">Nawet przy umowie na czas oznaczony Użyczający może żądać wcześniejszego zwrotu w sytuacjach z art. 716 KC, np. gdy rzecz stanie się mu potrzebna z powodów nieprzewidzianych w chwili zawarcia umowy. Powtarza to § 3 ust. 2 wzoru.</w:t>
      </w:r>
    </w:p>
    <w:p>
      <w:pPr>
        <w:pStyle w:val="ListParagraph"/>
        <w:numPr>
          <w:ilvl w:val="0"/>
          <w:numId w:val="9"/>
        </w:numPr>
        <w:spacing w:after="100" w:line="276"/>
      </w:pPr>
      <w:r>
        <w:rPr>
          <w:sz w:val="20"/>
          <w:szCs w:val="20"/>
        </w:rPr>
        <w:t xml:space="preserve">Roszczenia o naprawienie szkody za uszkodzenie rzeczy i o zwrot nakładów przedawniają się po roku od dnia zwrotu rzeczy (art. 719 KC). Obejrzyj rzecz przy zwrocie i od razu wpisz uwagi do protokołu.</w:t>
      </w:r>
    </w:p>
    <w:p>
      <w:pPr>
        <w:pStyle w:val="ListParagraph"/>
        <w:numPr>
          <w:ilvl w:val="0"/>
          <w:numId w:val="9"/>
        </w:numPr>
        <w:spacing w:after="100" w:line="276"/>
      </w:pPr>
      <w:r>
        <w:rPr>
          <w:sz w:val="20"/>
          <w:szCs w:val="20"/>
        </w:rPr>
        <w:t xml:space="preserve">Jeśli Biorących jest kilku, odpowiadają solidarnie (art. 717 KC): Użyczający może żądać całego odszkodowania od każdego z nich.</w:t>
      </w:r>
    </w:p>
    <w:p>
      <w:pPr>
        <w:pStyle w:val="ListParagraph"/>
        <w:numPr>
          <w:ilvl w:val="0"/>
          <w:numId w:val="9"/>
        </w:numPr>
        <w:spacing w:after="100" w:line="276"/>
      </w:pPr>
      <w:r>
        <w:rPr>
          <w:sz w:val="20"/>
          <w:szCs w:val="20"/>
        </w:rPr>
        <w:t xml:space="preserve">Umowa nie wymaga notariusza ani świadków. Wystarczą podpisy Stron na dwóch egzemplarzach.</w:t>
      </w:r>
    </w:p>
    <w:p>
      <w:pPr>
        <w:pStyle w:val="ListParagraph"/>
        <w:numPr>
          <w:ilvl w:val="0"/>
          <w:numId w:val="9"/>
        </w:numPr>
        <w:spacing w:after="100" w:line="276"/>
      </w:pPr>
      <w:r>
        <w:rPr>
          <w:sz w:val="20"/>
          <w:szCs w:val="20"/>
        </w:rPr>
        <w:t xml:space="preserve">Ten wzór dotyczy rzeczy ruchomych. Do mieszkania, lokalu na siedzibę firmy i samochodu użyj osobnych wzorów z artykułu, bo zawierają postanowienia potrzebne przy tych rzeczach.</w:t>
      </w:r>
    </w:p>
    <w:p>
      <w:pPr>
        <w:keepLines/>
        <w:pBdr>
          <w:top w:val="single" w:color="C8C8CC" w:sz="4" w:space="8"/>
        </w:pBdr>
        <w:spacing w:after="50" w:before="120" w:line="264"/>
      </w:pPr>
      <w:r>
        <w:rPr>
          <w:i/>
          <w:iCs/>
          <w:color w:val="6B6B6B"/>
          <w:sz w:val="16"/>
          <w:szCs w:val="16"/>
        </w:rPr>
        <w:t xml:space="preserve">Wzór ma charakter informacyjny i nie stanowi porady prawnej. Objaśnienia wszystkich postanowień, przykład wypełnienia i aktualna wersja wzoru: </w:t>
      </w:r>
      <w:hyperlink w:history="1" r:id="rIdi28rxubw7t2qlbvk5db8h">
        <w:r>
          <w:rPr>
            <w:rStyle w:val="Hyperlink"/>
            <w:i/>
            <w:iCs/>
            <w:sz w:val="16"/>
            <w:szCs w:val="16"/>
          </w:rPr>
          <w:t xml:space="preserve">www.notalot.pl/wiedza/nieruchomosci/wzor-umowy-uzyczenia/</w:t>
        </w:r>
      </w:hyperlink>
    </w:p>
    <w:p>
      <w:pPr>
        <w:keepLines/>
        <w:spacing w:after="50" w:before="0" w:line="264"/>
      </w:pPr>
      <w:r>
        <w:rPr>
          <w:i/>
          <w:iCs/>
          <w:color w:val="6B6B6B"/>
          <w:sz w:val="16"/>
          <w:szCs w:val="16"/>
        </w:rPr>
        <w:t xml:space="preserve">Wzór przygotowała redakcja Notalot.pl — serwisu Fundacji Otwarte Państwo. Bezpłatnie i bez rejestracji.</w:t>
      </w:r>
    </w:p>
    <w:sectPr>
      <w:footerReference w:type="default" r:id="rId7"/>
      <w:pgSz w:w="11906" w:h="16838" w:orient="portrait"/>
      <w:pgMar w:top="1300" w:right="1588" w:bottom="1300" w:left="1588" w:header="708"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Stopka"/>
      <w:jc w:val="center"/>
    </w:pPr>
    <w:r>
      <w:t xml:space="preserve">Umowa użyczenia · notalot.pl · strona </w:t>
    </w:r>
    <w:r>
      <w:fldChar w:fldCharType="begin"/>
      <w:instrText xml:space="preserve">PAGE</w:instrText>
      <w:fldChar w:fldCharType="separate"/>
      <w:fldChar w:fldCharType="end"/>
    </w:r>
    <w:r>
      <w:t xml:space="preserve"> z </w:t>
    </w:r>
    <w: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397" w:hanging="397"/>
      </w:pPr>
    </w:lvl>
    <w:lvl w:ilvl="1" w15:tentative="1">
      <w:start w:val="1"/>
      <w:numFmt w:val="lowerLetter"/>
      <w:lvlText w:val="%2)"/>
      <w:lvlJc w:val="left"/>
      <w:pPr>
        <w:ind w:left="794" w:hanging="397"/>
      </w:pPr>
    </w:lvl>
  </w:abstractNum>
  <w:abstractNum w:abstractNumId="3" w15:restartNumberingAfterBreak="0">
    <w:multiLevelType w:val="hybridMultilevel"/>
    <w:lvl w:ilvl="0" w15:tentative="1">
      <w:start w:val="1"/>
      <w:numFmt w:val="bullet"/>
      <w:lvlText w:val="•"/>
      <w:lvlJc w:val="left"/>
      <w:pPr>
        <w:ind w:left="397" w:hanging="284"/>
      </w:p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lang w:val="pl-P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topka">
    <w:name w:val="Stopka"/>
    <w:rPr>
      <w:color w:val="8A8A8A"/>
      <w:sz w:val="16"/>
      <w:szCs w:val="16"/>
    </w:rPr>
  </w:style>
  <w:style w:type="character" w:styleId="Hyperlink">
    <w:name w:val="Hyperlink"/>
    <w:basedOn w:val="DefaultParagraphFont"/>
    <w:uiPriority w:val="99"/>
    <w:unhideWhenUsed/>
    <w:rPr>
      <w:color w:val="1F3D33"/>
      <w:u w:val="single"/>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28rxubw7t2qlbvk5db8h" Type="http://schemas.openxmlformats.org/officeDocument/2006/relationships/hyperlink" Target="https://www.notalot.pl/wiedza/nieruchomosci/wzor-umowy-uzyczenia/"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użyczenia – wzór</dc:title>
  <dc:subject>Wzór umowy użyczenia rzeczy ruchomej (Word i PDF) z protokołem przekazania</dc:subject>
  <dc:creator>Notalot.pl</dc:creator>
  <cp:keywords>umowa użyczenia, wzór umowy użyczenia, umowa użyczenia sprzętu, umowa użyczenia pdf, umowa użyczenia word</cp:keywords>
  <dc:description>Bezpłatny wzór umowy użyczenia rzeczy ruchomej z protokołem przekazania i zwrotu. Objaśnienia: https://www.notalot.pl/wiedza/nieruchomosci/wzor-umowy-uzyczenia/</dc:description>
  <cp:lastModifiedBy>Notalot.pl</cp:lastModifiedBy>
  <cp:revision>1</cp:revision>
  <dcterms:created xsi:type="dcterms:W3CDTF">2026-09-22T19:34:01.124Z</dcterms:created>
  <dcterms:modified xsi:type="dcterms:W3CDTF">2026-09-22T19:34:01.125Z</dcterms:modified>
</cp:coreProperties>
</file>

<file path=docProps/custom.xml><?xml version="1.0" encoding="utf-8"?>
<Properties xmlns="http://schemas.openxmlformats.org/officeDocument/2006/custom-properties" xmlns:vt="http://schemas.openxmlformats.org/officeDocument/2006/docPropsVTypes"/>
</file>