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center"/>
      </w:pPr>
      <w:r>
        <w:rPr>
          <w:b/>
          <w:bCs/>
          <w:sz w:val="30"/>
          <w:szCs w:val="30"/>
        </w:rPr>
        <w:t xml:space="preserve">UMOWA UŻYCZENIA LOKALU MIESZKALNEGO</w:t>
      </w:r>
    </w:p>
    <w:p>
      <w:pPr>
        <w:pBdr>
          <w:bottom w:val="single" w:color="C8C8CC" w:sz="6" w:space="6"/>
        </w:pBdr>
        <w:spacing w:after="60"/>
        <w:jc w:val="center"/>
      </w:pPr>
      <w:r>
        <w:rPr>
          <w:color w:val="6B6B6B"/>
        </w:rPr>
        <w:t xml:space="preserve">mieszkania lub domu</w:t>
      </w:r>
    </w:p>
    <w:p>
      <w:pPr>
        <w:spacing w:after="220" w:before="80"/>
        <w:jc w:val="center"/>
      </w:pPr>
      <w:r>
        <w:rPr>
          <w:i/>
          <w:iCs/>
          <w:color w:val="6B6B6B"/>
          <w:sz w:val="18"/>
          <w:szCs w:val="18"/>
        </w:rPr>
        <w:t xml:space="preserve">Zaznacz ☒ właściwe pola i uzupełnij linie. Niepotrzebne warianty usuń przed podpisaniem.</w:t>
      </w:r>
    </w:p>
    <w:p>
      <w:pPr>
        <w:spacing w:after="80" w:line="288"/>
      </w:pPr>
      <w:r>
        <w:t xml:space="preserve">Zawarta w ______________________________ dnia ____________________ r. pomiędzy:</w:t>
      </w:r>
    </w:p>
    <w:p>
      <w:pPr>
        <w:keepNext/>
        <w:spacing w:after="60" w:before="160"/>
      </w:pPr>
      <w:r>
        <w:rPr>
          <w:b/>
          <w:bCs/>
        </w:rPr>
        <w:t xml:space="preserve">UŻYCZAJĄCYM</w:t>
      </w:r>
    </w:p>
    <w:p>
      <w:pPr>
        <w:tabs>
          <w:tab w:val="right" w:pos="8730" w:leader="underscore"/>
        </w:tabs>
        <w:spacing w:after="70" w:line="288"/>
        <w:ind w:left="397"/>
      </w:pPr>
      <w:r>
        <w:t xml:space="preserve">Imię i nazwisko:  </w:t>
      </w:r>
      <w:r>
        <w:tab/>
      </w:r>
    </w:p>
    <w:p>
      <w:pPr>
        <w:tabs>
          <w:tab w:val="right" w:pos="8730" w:leader="underscore"/>
        </w:tabs>
        <w:spacing w:after="70" w:line="288"/>
        <w:ind w:left="397"/>
      </w:pPr>
      <w:r>
        <w:t xml:space="preserve">Adres zamieszkania:  </w:t>
      </w:r>
      <w:r>
        <w:tab/>
      </w:r>
    </w:p>
    <w:p>
      <w:pPr>
        <w:tabs>
          <w:tab w:val="right" w:pos="8730" w:leader="underscore"/>
        </w:tabs>
        <w:spacing w:after="70" w:line="288"/>
        <w:ind w:left="397"/>
      </w:pPr>
      <w:r>
        <w:t xml:space="preserve">PESEL:  </w:t>
      </w:r>
      <w:r>
        <w:tab/>
      </w:r>
    </w:p>
    <w:p>
      <w:pPr>
        <w:tabs>
          <w:tab w:val="right" w:pos="8730" w:leader="underscore"/>
        </w:tabs>
        <w:spacing w:after="70" w:line="288"/>
        <w:ind w:left="397"/>
      </w:pPr>
      <w:r>
        <w:t xml:space="preserve">Seria i numer dowodu osobistego lub paszportu:  </w:t>
      </w:r>
      <w:r>
        <w:tab/>
      </w:r>
    </w:p>
    <w:p>
      <w:pPr>
        <w:tabs>
          <w:tab w:val="right" w:pos="8730" w:leader="underscore"/>
        </w:tabs>
        <w:spacing w:after="70" w:line="288"/>
        <w:ind w:left="397"/>
      </w:pPr>
      <w:r>
        <w:t xml:space="preserve">Telefon i e-mail:  </w:t>
      </w:r>
      <w:r>
        <w:tab/>
      </w:r>
    </w:p>
    <w:p>
      <w:pPr>
        <w:keepNext/>
        <w:spacing w:after="60" w:before="160"/>
      </w:pPr>
      <w:r>
        <w:rPr>
          <w:b/>
          <w:bCs/>
        </w:rPr>
        <w:t xml:space="preserve">a BIORĄCYM</w:t>
      </w:r>
    </w:p>
    <w:p>
      <w:pPr>
        <w:tabs>
          <w:tab w:val="right" w:pos="8730" w:leader="underscore"/>
        </w:tabs>
        <w:spacing w:after="70" w:line="288"/>
        <w:ind w:left="397"/>
      </w:pPr>
      <w:r>
        <w:t xml:space="preserve">Imię i nazwisko:  </w:t>
      </w:r>
      <w:r>
        <w:tab/>
      </w:r>
    </w:p>
    <w:p>
      <w:pPr>
        <w:tabs>
          <w:tab w:val="right" w:pos="8730" w:leader="underscore"/>
        </w:tabs>
        <w:spacing w:after="70" w:line="288"/>
        <w:ind w:left="397"/>
      </w:pPr>
      <w:r>
        <w:t xml:space="preserve">Adres zamieszkania:  </w:t>
      </w:r>
      <w:r>
        <w:tab/>
      </w:r>
    </w:p>
    <w:p>
      <w:pPr>
        <w:tabs>
          <w:tab w:val="right" w:pos="8730" w:leader="underscore"/>
        </w:tabs>
        <w:spacing w:after="70" w:line="288"/>
        <w:ind w:left="397"/>
      </w:pPr>
      <w:r>
        <w:t xml:space="preserve">PESEL:  </w:t>
      </w:r>
      <w:r>
        <w:tab/>
      </w:r>
    </w:p>
    <w:p>
      <w:pPr>
        <w:tabs>
          <w:tab w:val="right" w:pos="8730" w:leader="underscore"/>
        </w:tabs>
        <w:spacing w:after="70" w:line="288"/>
        <w:ind w:left="397"/>
      </w:pPr>
      <w:r>
        <w:t xml:space="preserve">Seria i numer dowodu osobistego lub paszportu:  </w:t>
      </w:r>
      <w:r>
        <w:tab/>
      </w:r>
    </w:p>
    <w:p>
      <w:pPr>
        <w:tabs>
          <w:tab w:val="right" w:pos="8730" w:leader="underscore"/>
        </w:tabs>
        <w:spacing w:after="70" w:line="288"/>
        <w:ind w:left="397"/>
      </w:pPr>
      <w:r>
        <w:t xml:space="preserve">Telefon i e-mail:  </w:t>
      </w:r>
      <w:r>
        <w:tab/>
      </w:r>
    </w:p>
    <w:p>
      <w:pPr>
        <w:spacing w:after="80" w:before="120" w:line="288"/>
      </w:pPr>
      <w:r>
        <w:t xml:space="preserve">zwanymi dalej łącznie „Stronami”.</w:t>
      </w:r>
    </w:p>
    <w:p>
      <w:pPr>
        <w:keepNext/>
        <w:keepLines/>
        <w:pBdr>
          <w:bottom w:val="single" w:color="C8C8CC" w:sz="6" w:space="4"/>
        </w:pBdr>
        <w:spacing w:after="120" w:before="300"/>
      </w:pPr>
      <w:r>
        <w:rPr>
          <w:b/>
          <w:bCs/>
          <w:sz w:val="24"/>
          <w:szCs w:val="24"/>
        </w:rPr>
        <w:t xml:space="preserve">§ 1  Przedmiot użyczenia</w:t>
      </w:r>
    </w:p>
    <w:p>
      <w:pPr>
        <w:pStyle w:val="ListParagraph"/>
        <w:numPr>
          <w:ilvl w:val="0"/>
          <w:numId w:val="2"/>
        </w:numPr>
        <w:spacing w:after="80" w:line="288"/>
      </w:pPr>
      <w:r>
        <w:t xml:space="preserve">Użyczający oświadcza, że przysługuje mu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prawo własności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spółdzielcze własnościowe prawo do lokalu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prawo najmu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inne prawo: ____________________  do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lokalu mieszkalnego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domu  położonego w ____________________ przy ul. ______________________________, o powierzchni użytkowej ok. ______ m², składającego się z ______ pokoi, kuchni i łazienki (dalej: „Lokal”), dla którego prowadzona jest księga wieczysta nr ______________________________ (jeśli została założona).</w:t>
      </w:r>
    </w:p>
    <w:p>
      <w:pPr>
        <w:pStyle w:val="ListParagraph"/>
        <w:numPr>
          <w:ilvl w:val="0"/>
          <w:numId w:val="2"/>
        </w:numPr>
        <w:spacing w:after="80" w:line="288"/>
      </w:pPr>
      <w:r>
        <w:t xml:space="preserve">Użyczający oddaje Biorącemu do bezpłatnego używania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cały Lokal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część Lokalu: ______________________________ (np. pokój, z prawem korzystania z kuchni i łazienki)  wraz z wyposażeniem opisanym w protokole zdawczo-odbiorczym (Załącznik nr 1), a Biorący Lokal przyjmuje.</w:t>
      </w:r>
    </w:p>
    <w:p>
      <w:pPr>
        <w:pStyle w:val="ListParagraph"/>
        <w:numPr>
          <w:ilvl w:val="0"/>
          <w:numId w:val="2"/>
        </w:numPr>
        <w:spacing w:after="80" w:line="288"/>
      </w:pPr>
      <w:r>
        <w:t xml:space="preserve">Wraz z Lokalem Biorący może używać: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piwnicy lub komórki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miejsca postojowego nr ______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garażu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ogrodu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inne: ______________________________.</w:t>
      </w:r>
    </w:p>
    <w:p>
      <w:pPr>
        <w:pStyle w:val="ListParagraph"/>
        <w:numPr>
          <w:ilvl w:val="0"/>
          <w:numId w:val="2"/>
        </w:numPr>
        <w:spacing w:after="80" w:line="288"/>
      </w:pPr>
      <w:r>
        <w:t xml:space="preserve">Lokal służy zaspokojeniu potrzeb mieszkaniowych Biorącego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oraz następujących osób: ______________________________. Inne osoby mogą w nim zamieszkać tylko za pisemną zgodą Użyczającego.</w:t>
      </w:r>
    </w:p>
    <w:p>
      <w:pPr>
        <w:keepNext/>
        <w:keepLines/>
        <w:pBdr>
          <w:bottom w:val="single" w:color="C8C8CC" w:sz="6" w:space="4"/>
        </w:pBdr>
        <w:spacing w:after="120" w:before="300"/>
      </w:pPr>
      <w:r>
        <w:rPr>
          <w:b/>
          <w:bCs/>
          <w:sz w:val="24"/>
          <w:szCs w:val="24"/>
        </w:rPr>
        <w:t xml:space="preserve">§ 2  Oświadczenia Stron</w:t>
      </w:r>
    </w:p>
    <w:p>
      <w:pPr>
        <w:pStyle w:val="ListParagraph"/>
        <w:numPr>
          <w:ilvl w:val="0"/>
          <w:numId w:val="3"/>
        </w:numPr>
        <w:spacing w:after="80" w:line="288"/>
      </w:pPr>
      <w:r>
        <w:t xml:space="preserve">Użyczający oświadcza, że może oddać Lokal do bezpłatnego używania, a jeżeli wymaga tego jego tytuł prawny, uzyskał zgodę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małżonka (Lokal należy do majątku wspólnego)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współwłaścicieli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wynajmującego (Użyczający jest najemcą Lokalu, art. 688² Kodeksu cywilnego). Zgoda małżonka lub współwłaściciela znajduje się na końcu umowy, a zgoda wynajmującego stanowi Załącznik nr 2.</w:t>
      </w:r>
    </w:p>
    <w:p>
      <w:pPr>
        <w:pStyle w:val="ListParagraph"/>
        <w:numPr>
          <w:ilvl w:val="0"/>
          <w:numId w:val="3"/>
        </w:numPr>
        <w:spacing w:after="80" w:line="288"/>
      </w:pPr>
      <w:r>
        <w:t xml:space="preserve">Biorący oświadcza, że obejrzał Lokal, a jego stan Strony opisały w protokole zdawczo-odbiorczym.</w:t>
      </w:r>
    </w:p>
    <w:p>
      <w:pPr>
        <w:keepNext/>
        <w:keepLines/>
        <w:pBdr>
          <w:bottom w:val="single" w:color="C8C8CC" w:sz="6" w:space="4"/>
        </w:pBdr>
        <w:spacing w:after="120" w:before="300"/>
      </w:pPr>
      <w:r>
        <w:rPr>
          <w:b/>
          <w:bCs/>
          <w:sz w:val="24"/>
          <w:szCs w:val="24"/>
        </w:rPr>
        <w:t xml:space="preserve">§ 3  Czas trwania umowy</w:t>
      </w:r>
    </w:p>
    <w:p>
      <w:pPr>
        <w:pStyle w:val="ListParagraph"/>
        <w:numPr>
          <w:ilvl w:val="0"/>
          <w:numId w:val="4"/>
        </w:numPr>
        <w:spacing w:after="80" w:line="288"/>
      </w:pPr>
      <w:r>
        <w:t xml:space="preserve">Umowa zostaje zawarta:</w:t>
      </w:r>
    </w:p>
    <w:p>
      <w:pPr>
        <w:spacing w:after="60" w:line="288"/>
        <w:ind w:left="794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na czas oznaczony od ________________ do ________________ r.,</w:t>
      </w:r>
    </w:p>
    <w:p>
      <w:pPr>
        <w:spacing w:after="60" w:line="288"/>
        <w:ind w:left="794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na czas nieoznaczony od ____________________ r.</w:t>
      </w:r>
    </w:p>
    <w:p>
      <w:pPr>
        <w:pStyle w:val="ListParagraph"/>
        <w:numPr>
          <w:ilvl w:val="0"/>
          <w:numId w:val="4"/>
        </w:numPr>
        <w:spacing w:after="80" w:line="288"/>
      </w:pPr>
      <w:r>
        <w:t xml:space="preserve">Umowę zawartą na czas nieoznaczony każda ze Stron może wypowiedzieć na piśmie z zachowaniem ____________ (np. trzymiesięcznego) terminu wypowiedzenia, ze skutkiem na koniec miesiąca kalendarzowego.</w:t>
      </w:r>
    </w:p>
    <w:p>
      <w:pPr>
        <w:pStyle w:val="ListParagraph"/>
        <w:numPr>
          <w:ilvl w:val="0"/>
          <w:numId w:val="4"/>
        </w:numPr>
        <w:spacing w:after="80" w:line="288"/>
      </w:pPr>
      <w:r>
        <w:t xml:space="preserve">Niezależnie od czasu, na jaki umowa została zawarta, Użyczający może żądać na piśmie zwrotu Lokalu, jeżeli:</w:t>
      </w:r>
    </w:p>
    <w:p>
      <w:pPr>
        <w:pStyle w:val="ListParagraph"/>
        <w:numPr>
          <w:ilvl w:val="1"/>
          <w:numId w:val="4"/>
        </w:numPr>
        <w:spacing w:after="80" w:line="288"/>
      </w:pPr>
      <w:r>
        <w:t xml:space="preserve">Biorący używa Lokalu w sposób sprzeczny z umową albo z jego przeznaczeniem,</w:t>
      </w:r>
    </w:p>
    <w:p>
      <w:pPr>
        <w:pStyle w:val="ListParagraph"/>
        <w:numPr>
          <w:ilvl w:val="1"/>
          <w:numId w:val="4"/>
        </w:numPr>
        <w:spacing w:after="80" w:line="288"/>
      </w:pPr>
      <w:r>
        <w:t xml:space="preserve">Biorący oddał Lokal lub jego część do używania innej osobie bez zgody Użyczającego,</w:t>
      </w:r>
    </w:p>
    <w:p>
      <w:pPr>
        <w:pStyle w:val="ListParagraph"/>
        <w:numPr>
          <w:ilvl w:val="1"/>
          <w:numId w:val="4"/>
        </w:numPr>
        <w:spacing w:after="80" w:line="288"/>
      </w:pPr>
      <w:r>
        <w:t xml:space="preserve">Lokal stanie się potrzebny Użyczającemu z powodów nieprzewidzianych w chwili zawarcia umowy (art. 716 Kodeksu cywilnego),</w:t>
      </w:r>
    </w:p>
    <w:p>
      <w:pPr>
        <w:pStyle w:val="ListParagraph"/>
        <w:numPr>
          <w:ilvl w:val="1"/>
          <w:numId w:val="4"/>
        </w:numPr>
        <w:spacing w:after="80" w:line="288"/>
      </w:pPr>
      <w:r>
        <w:t xml:space="preserve">Biorący nie pokrywa kosztów określonych w § 4 za co najmniej dwa okresy rozliczeniowe mimo pisemnego wezwania do zapłaty,</w:t>
      </w:r>
    </w:p>
    <w:p>
      <w:pPr>
        <w:pStyle w:val="ListParagraph"/>
        <w:numPr>
          <w:ilvl w:val="1"/>
          <w:numId w:val="4"/>
        </w:numPr>
        <w:spacing w:after="80" w:line="288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Użyczający zamierza sprzedać Lokal albo przekazać go innej osobie.</w:t>
      </w:r>
    </w:p>
    <w:p>
      <w:pPr>
        <w:spacing w:after="80" w:line="288"/>
        <w:ind w:left="397"/>
      </w:pPr>
      <w:r>
        <w:t xml:space="preserve">Biorący zwróci wtedy Lokal w terminie ____________ (np. jednego miesiąca) od otrzymania żądania.</w:t>
      </w:r>
    </w:p>
    <w:p>
      <w:pPr>
        <w:pStyle w:val="ListParagraph"/>
        <w:numPr>
          <w:ilvl w:val="0"/>
          <w:numId w:val="4"/>
        </w:numPr>
        <w:spacing w:after="80" w:line="288"/>
      </w:pPr>
      <w:r>
        <w:t xml:space="preserve">Biorący może zwrócić Lokal w każdym czasie, uprzedzając o tym Użyczającego na piśmie co najmniej ______ dni wcześniej.</w:t>
      </w:r>
    </w:p>
    <w:p>
      <w:pPr>
        <w:pStyle w:val="ListParagraph"/>
        <w:numPr>
          <w:ilvl w:val="0"/>
          <w:numId w:val="4"/>
        </w:numPr>
        <w:spacing w:after="80" w:line="288"/>
      </w:pPr>
      <w:r>
        <w:t xml:space="preserve">Umowa wygasa z chwilą śmierci Biorącego. Uprawnienie do używania Lokalu nie przechodzi na jego spadkobierców ani na osoby, które z nim mieszkały.</w:t>
      </w:r>
    </w:p>
    <w:p>
      <w:pPr>
        <w:keepNext/>
        <w:keepLines/>
        <w:pBdr>
          <w:bottom w:val="single" w:color="C8C8CC" w:sz="6" w:space="4"/>
        </w:pBdr>
        <w:spacing w:after="120" w:before="300"/>
      </w:pPr>
      <w:r>
        <w:rPr>
          <w:b/>
          <w:bCs/>
          <w:sz w:val="24"/>
          <w:szCs w:val="24"/>
        </w:rPr>
        <w:t xml:space="preserve">§ 4  Koszty utrzymania Lokalu</w:t>
      </w:r>
    </w:p>
    <w:p>
      <w:pPr>
        <w:pStyle w:val="ListParagraph"/>
        <w:numPr>
          <w:ilvl w:val="0"/>
          <w:numId w:val="5"/>
        </w:numPr>
        <w:spacing w:after="80" w:line="288"/>
      </w:pPr>
      <w:r>
        <w:t xml:space="preserve">Użyczenie jest bezpłatne. Biorący nie płaci Użyczającemu czynszu ani innego wynagrodzenia za używanie Lokalu.</w:t>
      </w:r>
    </w:p>
    <w:p>
      <w:pPr>
        <w:pStyle w:val="ListParagraph"/>
        <w:numPr>
          <w:ilvl w:val="0"/>
          <w:numId w:val="5"/>
        </w:numPr>
        <w:spacing w:after="80" w:line="288"/>
      </w:pPr>
      <w:r>
        <w:t xml:space="preserve">Biorący ponosi zwykłe koszty utrzymania Lokalu (art. 713 Kodeksu cywilnego), to jest:</w:t>
      </w:r>
    </w:p>
    <w:p>
      <w:pPr>
        <w:spacing w:after="60" w:line="288"/>
        <w:ind w:left="794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opłaty za energię elektryczną, gaz, wodę, ogrzewanie i wywóz odpadów, według zużycia lub rachunków,</w:t>
      </w:r>
    </w:p>
    <w:p>
      <w:pPr>
        <w:spacing w:after="60" w:line="288"/>
        <w:ind w:left="794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bieżące opłaty na rzecz wspólnoty mieszkaniowej lub spółdzielni (zaliczki na koszty utrzymania i eksploatacji Lokalu),</w:t>
      </w:r>
    </w:p>
    <w:p>
      <w:pPr>
        <w:spacing w:after="60" w:line="288"/>
        <w:ind w:left="794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opłaty za internet i telewizję,</w:t>
      </w:r>
    </w:p>
    <w:p>
      <w:pPr>
        <w:spacing w:after="60" w:line="288"/>
        <w:ind w:left="794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inne: ______________________________.</w:t>
      </w:r>
    </w:p>
    <w:p>
      <w:pPr>
        <w:pStyle w:val="ListParagraph"/>
        <w:numPr>
          <w:ilvl w:val="0"/>
          <w:numId w:val="5"/>
        </w:numPr>
        <w:spacing w:after="80" w:line="288"/>
      </w:pPr>
      <w:r>
        <w:t xml:space="preserve">Koszty z ust. 2 Biorący płaci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bezpośrednio dostawcom oraz wspólnocie lub spółdzielni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Użyczającemu, w wysokości wynikającej z rachunków, w terminie 14 dni od otrzymania ich kopii.</w:t>
      </w:r>
    </w:p>
    <w:p>
      <w:pPr>
        <w:pStyle w:val="ListParagraph"/>
        <w:numPr>
          <w:ilvl w:val="0"/>
          <w:numId w:val="5"/>
        </w:numPr>
        <w:spacing w:after="80" w:line="288"/>
      </w:pPr>
      <w:r>
        <w:t xml:space="preserve">Podatek od nieruchomości i ubezpieczenie Lokalu pokrywa Użyczający.</w:t>
      </w:r>
    </w:p>
    <w:p>
      <w:pPr>
        <w:pStyle w:val="ListParagraph"/>
        <w:numPr>
          <w:ilvl w:val="0"/>
          <w:numId w:val="5"/>
        </w:numPr>
        <w:spacing w:after="80" w:line="288"/>
      </w:pPr>
      <w:r>
        <w:t xml:space="preserve">Biorący ponosi koszty drobnych napraw i bieżącej konserwacji Lokalu i jego wyposażenia. O awariach wymagających większych napraw niezwłocznie zawiadamia Użyczającego.</w:t>
      </w:r>
    </w:p>
    <w:p>
      <w:pPr>
        <w:keepNext/>
        <w:keepLines/>
        <w:pBdr>
          <w:bottom w:val="single" w:color="C8C8CC" w:sz="6" w:space="4"/>
        </w:pBdr>
        <w:spacing w:after="120" w:before="300"/>
      </w:pPr>
      <w:r>
        <w:rPr>
          <w:b/>
          <w:bCs/>
          <w:sz w:val="24"/>
          <w:szCs w:val="24"/>
        </w:rPr>
        <w:t xml:space="preserve">§ 5  Używanie Lokalu</w:t>
      </w:r>
    </w:p>
    <w:p>
      <w:pPr>
        <w:pStyle w:val="ListParagraph"/>
        <w:numPr>
          <w:ilvl w:val="0"/>
          <w:numId w:val="6"/>
        </w:numPr>
        <w:spacing w:after="80" w:line="288"/>
      </w:pPr>
      <w:r>
        <w:t xml:space="preserve">Biorący będzie używał Lokalu zgodnie z jego przeznaczeniem, z należytą starannością i z poszanowaniem porządku domowego obowiązującego w budynku.</w:t>
      </w:r>
    </w:p>
    <w:p>
      <w:pPr>
        <w:pStyle w:val="ListParagraph"/>
        <w:numPr>
          <w:ilvl w:val="0"/>
          <w:numId w:val="6"/>
        </w:numPr>
        <w:spacing w:after="80" w:line="288"/>
      </w:pPr>
      <w:r>
        <w:t xml:space="preserve">Bez pisemnej zgody Użyczającego Biorący nie może:</w:t>
      </w:r>
    </w:p>
    <w:p>
      <w:pPr>
        <w:pStyle w:val="ListParagraph"/>
        <w:numPr>
          <w:ilvl w:val="1"/>
          <w:numId w:val="6"/>
        </w:numPr>
        <w:spacing w:after="80" w:line="288"/>
      </w:pPr>
      <w:r>
        <w:t xml:space="preserve">oddać Lokalu ani jego części do używania innym osobom, w szczególności wynająć go, także na doby (art. 712 § 2 Kodeksu cywilnego),</w:t>
      </w:r>
    </w:p>
    <w:p>
      <w:pPr>
        <w:pStyle w:val="ListParagraph"/>
        <w:numPr>
          <w:ilvl w:val="1"/>
          <w:numId w:val="6"/>
        </w:numPr>
        <w:spacing w:after="80" w:line="288"/>
      </w:pPr>
      <w:r>
        <w:t xml:space="preserve">dokonywać przeróbek, remontów ani zmian w wyposażeniu Lokalu, w tym wymieniać zamków,</w:t>
      </w:r>
    </w:p>
    <w:p>
      <w:pPr>
        <w:pStyle w:val="ListParagraph"/>
        <w:numPr>
          <w:ilvl w:val="1"/>
          <w:numId w:val="6"/>
        </w:numPr>
        <w:spacing w:after="80" w:line="288"/>
      </w:pPr>
      <w:r>
        <w:t xml:space="preserve">wskazywać Lokalu jako adresu siedziby lub miejsca wykonywania działalności gospodarczej.</w:t>
      </w:r>
    </w:p>
    <w:p>
      <w:pPr>
        <w:pStyle w:val="ListParagraph"/>
        <w:numPr>
          <w:ilvl w:val="0"/>
          <w:numId w:val="6"/>
        </w:numPr>
        <w:spacing w:after="80" w:line="288"/>
      </w:pPr>
      <w:r>
        <w:t xml:space="preserve">Jeżeli Biorący za zgodą Użyczającego ulepszy Lokal, a zgoda nie stanowi inaczej, po zakończeniu umowy Użyczający może według swojego wyboru zatrzymać ulepszenia bez obowiązku zapłaty ich wartości albo żądać przywrócenia stanu poprzedniego.</w:t>
      </w:r>
    </w:p>
    <w:p>
      <w:pPr>
        <w:pStyle w:val="ListParagraph"/>
        <w:numPr>
          <w:ilvl w:val="0"/>
          <w:numId w:val="6"/>
        </w:numPr>
        <w:spacing w:after="80" w:line="288"/>
      </w:pPr>
      <w:r>
        <w:t xml:space="preserve">Użyczający może wejść do Lokalu w celu sprawdzenia jego stanu po uzgodnieniu terminu z Biorącym. Pod nieobecność Biorącego może wejść tylko w razie awarii wywołującej szkodę lub bezpośrednio nią grożącej, w obecności funkcjonariusza Policji lub straży gminnej (miejskiej).</w:t>
      </w:r>
    </w:p>
    <w:p>
      <w:pPr>
        <w:pStyle w:val="ListParagraph"/>
        <w:numPr>
          <w:ilvl w:val="0"/>
          <w:numId w:val="6"/>
        </w:numPr>
        <w:spacing w:after="80" w:line="288"/>
      </w:pPr>
      <w:r>
        <w:t xml:space="preserve">Biorący odpowiada za szkody wyrządzone w Lokalu przez siebie i osoby, które przebywają w nim za jego wiedzą. Nie odpowiada za zużycie Lokalu będące następstwem prawidłowego używania.</w:t>
      </w:r>
    </w:p>
    <w:p>
      <w:pPr>
        <w:keepNext/>
        <w:keepLines/>
        <w:pBdr>
          <w:bottom w:val="single" w:color="C8C8CC" w:sz="6" w:space="4"/>
        </w:pBdr>
        <w:spacing w:after="120" w:before="300"/>
      </w:pPr>
      <w:r>
        <w:rPr>
          <w:b/>
          <w:bCs/>
          <w:sz w:val="24"/>
          <w:szCs w:val="24"/>
        </w:rPr>
        <w:t xml:space="preserve">§ 6  Meldunek</w:t>
      </w:r>
    </w:p>
    <w:p>
      <w:pPr>
        <w:pStyle w:val="ListParagraph"/>
        <w:numPr>
          <w:ilvl w:val="0"/>
          <w:numId w:val="7"/>
        </w:numPr>
        <w:spacing w:after="80" w:line="288"/>
      </w:pPr>
      <w:r>
        <w:t xml:space="preserve">Biorący może zameldować się w Lokalu na pobyt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stały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czasowy, a Użyczający potwierdzi fakt jego pobytu na formularzu zgłoszenia.</w:t>
      </w:r>
    </w:p>
    <w:p>
      <w:pPr>
        <w:pStyle w:val="ListParagraph"/>
        <w:numPr>
          <w:ilvl w:val="0"/>
          <w:numId w:val="7"/>
        </w:numPr>
        <w:spacing w:after="80" w:line="288"/>
      </w:pPr>
      <w:r>
        <w:t xml:space="preserve">Zameldowanie nie daje prawa do zajmowania Lokalu po zakończeniu umowy. Biorący wymelduje się najpóźniej w dniu zwrotu Lokalu.</w:t>
      </w:r>
    </w:p>
    <w:p>
      <w:pPr>
        <w:keepNext/>
        <w:keepLines/>
        <w:pBdr>
          <w:bottom w:val="single" w:color="C8C8CC" w:sz="6" w:space="4"/>
        </w:pBdr>
        <w:spacing w:after="120" w:before="300"/>
      </w:pPr>
      <w:r>
        <w:rPr>
          <w:b/>
          <w:bCs/>
          <w:sz w:val="24"/>
          <w:szCs w:val="24"/>
        </w:rPr>
        <w:t xml:space="preserve">§ 7  Zwrot Lokalu</w:t>
      </w:r>
    </w:p>
    <w:p>
      <w:pPr>
        <w:pStyle w:val="ListParagraph"/>
        <w:numPr>
          <w:ilvl w:val="0"/>
          <w:numId w:val="8"/>
        </w:numPr>
        <w:spacing w:after="80" w:line="288"/>
      </w:pPr>
      <w:r>
        <w:t xml:space="preserve">Po zakończeniu umowy Biorący opróżni Lokal ze swoich rzeczy i zwróci go Użyczającemu wraz z wyposażeniem i wszystkimi kluczami, w stanie niepogorszonym, z uwzględnieniem zużycia wynikającego z prawidłowego używania (art. 718 § 1 Kodeksu cywilnego). Strony podpiszą protokół zdawczo-odbiorczy.</w:t>
      </w:r>
    </w:p>
    <w:p>
      <w:pPr>
        <w:pStyle w:val="ListParagraph"/>
        <w:numPr>
          <w:ilvl w:val="0"/>
          <w:numId w:val="8"/>
        </w:numPr>
        <w:spacing w:after="80" w:line="288"/>
      </w:pPr>
      <w:r>
        <w:t xml:space="preserve">Jeżeli Biorący nie zwróci Lokalu w terminie, za każdy miesiąc zajmowania Lokalu bez tytułu prawnego zapłaci odszkodowanie w wysokości czynszu, jaki Użyczający mógłby otrzymać z tytułu najmu Lokalu (art. 18 ustawy o ochronie praw lokatorów)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ustalonej przez Strony na ____________ zł miesięcznie,  a ponadto pokryje koszty z § 4.</w:t>
      </w:r>
    </w:p>
    <w:p>
      <w:pPr>
        <w:keepNext/>
        <w:keepLines/>
        <w:pBdr>
          <w:bottom w:val="single" w:color="C8C8CC" w:sz="6" w:space="4"/>
        </w:pBdr>
        <w:spacing w:after="120" w:before="300"/>
      </w:pPr>
      <w:r>
        <w:rPr>
          <w:b/>
          <w:bCs/>
          <w:sz w:val="24"/>
          <w:szCs w:val="24"/>
        </w:rPr>
        <w:t xml:space="preserve">§ 8  Postanowienia końcowe</w:t>
      </w:r>
    </w:p>
    <w:p>
      <w:pPr>
        <w:pStyle w:val="ListParagraph"/>
        <w:numPr>
          <w:ilvl w:val="0"/>
          <w:numId w:val="9"/>
        </w:numPr>
        <w:spacing w:after="80" w:line="288"/>
      </w:pPr>
      <w:r>
        <w:t xml:space="preserve">Zmiany umowy wymagają formy pisemnej pod rygorem nieważności.</w:t>
      </w:r>
    </w:p>
    <w:p>
      <w:pPr>
        <w:pStyle w:val="ListParagraph"/>
        <w:numPr>
          <w:ilvl w:val="0"/>
          <w:numId w:val="9"/>
        </w:numPr>
        <w:spacing w:after="80" w:line="288"/>
      </w:pPr>
      <w:r>
        <w:t xml:space="preserve">Jeżeli Lokal wzięło do używania kilka osób, ich odpowiedzialność wobec Użyczającego jest solidarna (art. 717 Kodeksu cywilnego).</w:t>
      </w:r>
    </w:p>
    <w:p>
      <w:pPr>
        <w:pStyle w:val="ListParagraph"/>
        <w:numPr>
          <w:ilvl w:val="0"/>
          <w:numId w:val="9"/>
        </w:numPr>
        <w:spacing w:after="80" w:line="288"/>
      </w:pPr>
      <w:r>
        <w:t xml:space="preserve">W sprawach nieuregulowanych umową stosuje się przepisy Kodeksu cywilnego, w szczególności art. 710–719, oraz ustawy z dnia 21 czerwca 2001 r. o ochronie praw lokatorów, mieszkaniowym zasobie gminy i o zmianie Kodeksu cywilnego.</w:t>
      </w:r>
    </w:p>
    <w:p>
      <w:pPr>
        <w:pStyle w:val="ListParagraph"/>
        <w:numPr>
          <w:ilvl w:val="0"/>
          <w:numId w:val="9"/>
        </w:numPr>
        <w:spacing w:after="80" w:line="288"/>
      </w:pPr>
      <w:r>
        <w:t xml:space="preserve">Umowę sporządzono w dwóch jednobrzmiących egzemplarzach, po jednym dla każdej ze Stron.</w:t>
      </w:r>
    </w:p>
    <w:p>
      <w:pPr>
        <w:pStyle w:val="ListParagraph"/>
        <w:numPr>
          <w:ilvl w:val="0"/>
          <w:numId w:val="9"/>
        </w:numPr>
        <w:spacing w:after="80" w:line="288"/>
      </w:pPr>
      <w:r>
        <w:t xml:space="preserve">Załączniki: nr 1: protokół zdawczo-odbiorczy;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nr 2: zgoda wynajmującego na oddanie Lokalu do bezpłatnego używania.</w:t>
      </w:r>
    </w:p>
    <w:tbl>
      <w:tblPr>
        <w:tblW w:type="dxa" w:w="87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915"/>
        <w:gridCol w:w="900"/>
        <w:gridCol w:w="3915"/>
      </w:tblGrid>
      <w:tr>
        <w:trPr>
          <w:cantSplit/>
          <w:trHeight w:val="900" w:hRule="atLeast"/>
        </w:trPr>
        <w:tc>
          <w:tcPr>
            <w:tcW w:type="dxa" w:w="39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  <w:tc>
          <w:tcPr>
            <w:tcW w:type="dxa" w:w="39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3915"/>
            <w:tcBorders>
              <w:top w:val="single" w:color="8A8A8A" w:sz="6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60"/>
              <w:jc w:val="center"/>
            </w:pPr>
            <w:r>
              <w:rPr>
                <w:color w:val="6B6B6B"/>
                <w:sz w:val="18"/>
                <w:szCs w:val="18"/>
              </w:rPr>
              <w:t xml:space="preserve">Użyczający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  <w:tc>
          <w:tcPr>
            <w:tcW w:type="dxa" w:w="3915"/>
            <w:tcBorders>
              <w:top w:val="single" w:color="8A8A8A" w:sz="6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60"/>
              <w:jc w:val="center"/>
            </w:pPr>
            <w:r>
              <w:rPr>
                <w:color w:val="6B6B6B"/>
                <w:sz w:val="18"/>
                <w:szCs w:val="18"/>
              </w:rPr>
              <w:t xml:space="preserve">Biorący</w:t>
            </w:r>
          </w:p>
        </w:tc>
      </w:tr>
    </w:tbl>
    <w:p>
      <w:pPr>
        <w:keepNext/>
        <w:keepLines/>
        <w:pBdr>
          <w:bottom w:val="single" w:color="C8C8CC" w:sz="6" w:space="4"/>
        </w:pBdr>
        <w:spacing w:after="120" w:before="300"/>
      </w:pPr>
      <w:r>
        <w:rPr>
          <w:b/>
          <w:bCs/>
          <w:sz w:val="24"/>
          <w:szCs w:val="24"/>
        </w:rPr>
        <w:t xml:space="preserve">Zgoda małżonka lub współwłaściciela Użyczającego</w:t>
      </w:r>
    </w:p>
    <w:p>
      <w:pPr>
        <w:keepNext/>
        <w:spacing w:after="80" w:line="288"/>
      </w:pPr>
      <w:r>
        <w:rPr>
          <w:i/>
          <w:iCs/>
          <w:color w:val="6B6B6B"/>
          <w:sz w:val="18"/>
          <w:szCs w:val="18"/>
        </w:rPr>
        <w:t xml:space="preserve">Wypełnij, jeśli Lokal należy do majątku wspólnego małżonków albo ma kilku współwłaścicieli, a osoba udzielająca zgody nie podpisuje umowy jako Użyczający.</w:t>
      </w:r>
    </w:p>
    <w:p>
      <w:pPr>
        <w:keepNext/>
        <w:spacing w:after="80" w:before="60" w:line="288"/>
      </w:pPr>
      <w:r>
        <w:t xml:space="preserve">Ja, ______________________________ (imię i nazwisko), PESEL ____________________, jako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małżonek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współwłaściciel  Użyczającego, wyrażam zgodę na oddanie Lokalu do bezpłatnego używania Biorącemu na warunkach tej umowy.</w:t>
      </w:r>
    </w:p>
    <w:tbl>
      <w:tblPr>
        <w:tblW w:type="dxa" w:w="87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30"/>
        <w:gridCol w:w="3900"/>
      </w:tblGrid>
      <w:tr>
        <w:trPr>
          <w:cantSplit/>
          <w:trHeight w:val="600" w:hRule="atLeast"/>
        </w:trPr>
        <w:tc>
          <w:tcPr>
            <w:tcW w:type="dxa" w:w="483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  <w:tc>
          <w:tcPr>
            <w:tcW w:type="dxa" w:w="3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483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  <w:tc>
          <w:tcPr>
            <w:tcW w:type="dxa" w:w="3900"/>
            <w:tcBorders>
              <w:top w:val="single" w:color="8A8A8A" w:sz="6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60"/>
              <w:jc w:val="center"/>
            </w:pPr>
            <w:r>
              <w:rPr>
                <w:color w:val="6B6B6B"/>
                <w:sz w:val="18"/>
                <w:szCs w:val="18"/>
              </w:rPr>
              <w:t xml:space="preserve">data i podpis</w:t>
            </w:r>
          </w:p>
        </w:tc>
      </w:tr>
    </w:tbl>
    <w:p>
      <w:r>
        <w:br w:type="page"/>
      </w:r>
    </w:p>
    <w:p>
      <w:pPr>
        <w:spacing w:after="40"/>
        <w:jc w:val="center"/>
      </w:pPr>
      <w:r>
        <w:rPr>
          <w:b/>
          <w:bCs/>
          <w:sz w:val="30"/>
          <w:szCs w:val="30"/>
        </w:rPr>
        <w:t xml:space="preserve">PROTOKÓŁ ZDAWCZO-ODBIORCZY LOKALU</w:t>
      </w:r>
    </w:p>
    <w:p>
      <w:pPr>
        <w:pBdr>
          <w:bottom w:val="single" w:color="C8C8CC" w:sz="6" w:space="6"/>
        </w:pBdr>
        <w:spacing w:after="60"/>
        <w:jc w:val="center"/>
      </w:pPr>
      <w:r>
        <w:rPr>
          <w:color w:val="6B6B6B"/>
        </w:rPr>
        <w:t xml:space="preserve">Załącznik nr 1 do umowy użyczenia lokalu z dnia ____________________ r.</w:t>
      </w:r>
    </w:p>
    <w:p>
      <w:pPr>
        <w:spacing w:after="220" w:before="80"/>
        <w:jc w:val="center"/>
      </w:pPr>
      <w:r>
        <w:rPr>
          <w:i/>
          <w:iCs/>
          <w:color w:val="6B6B6B"/>
          <w:sz w:val="18"/>
          <w:szCs w:val="18"/>
        </w:rPr>
        <w:t xml:space="preserve">Kolumnę „przy wydaniu” wypełnijcie w dniu przekazania kluczy, a kolumnę „przy zwrocie” w dniu zwrotu Lokalu.</w:t>
      </w:r>
    </w:p>
    <w:p>
      <w:pPr>
        <w:tabs>
          <w:tab w:val="right" w:pos="8730" w:leader="underscore"/>
        </w:tabs>
        <w:spacing w:after="70" w:line="288"/>
      </w:pPr>
      <w:r>
        <w:t xml:space="preserve">Adres Lokalu:  </w:t>
      </w:r>
      <w:r>
        <w:tab/>
      </w:r>
    </w:p>
    <w:p>
      <w:pPr>
        <w:spacing w:after="70" w:line="288"/>
      </w:pPr>
      <w:r>
        <w:t xml:space="preserve">Data wydania: ________________ r.        Data zwrotu: ________________ r.</w:t>
      </w:r>
    </w:p>
    <w:p>
      <w:pPr>
        <w:keepNext/>
        <w:keepLines/>
        <w:pBdr>
          <w:bottom w:val="single" w:color="C8C8CC" w:sz="6" w:space="4"/>
        </w:pBdr>
        <w:spacing w:after="120" w:before="300"/>
      </w:pPr>
      <w:r>
        <w:rPr>
          <w:b/>
          <w:bCs/>
          <w:sz w:val="24"/>
          <w:szCs w:val="24"/>
        </w:rPr>
        <w:t xml:space="preserve">1.  Stan pomieszczeń i wyposażenia</w:t>
      </w:r>
    </w:p>
    <w:tbl>
      <w:tblPr>
        <w:tblW w:type="dxa" w:w="8730"/>
        <w:tblBorders>
          <w:top w:val="single" w:color="B4B4B8" w:sz="4"/>
          <w:left w:val="single" w:color="B4B4B8" w:sz="4"/>
          <w:bottom w:val="single" w:color="B4B4B8" w:sz="4"/>
          <w:right w:val="single" w:color="B4B4B8" w:sz="4"/>
          <w:insideH w:val="single" w:color="B4B4B8" w:sz="4"/>
          <w:insideV w:val="single" w:color="B4B4B8" w:sz="4"/>
        </w:tblBorders>
        <w:tblLayout w:type="fixed"/>
      </w:tblPr>
      <w:tblGrid>
        <w:gridCol w:w="2930"/>
        <w:gridCol w:w="2900"/>
        <w:gridCol w:w="2900"/>
      </w:tblGrid>
      <w:tr>
        <w:trPr>
          <w:cantSplit/>
          <w:tblHeader/>
        </w:trPr>
        <w:tc>
          <w:tcPr>
            <w:tcW w:type="dxa" w:w="2930"/>
            <w:shd w:fill="F3F3F1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Pomieszczenie, sprzęt lub element</w:t>
            </w:r>
          </w:p>
        </w:tc>
        <w:tc>
          <w:tcPr>
            <w:tcW w:type="dxa" w:w="2900"/>
            <w:shd w:fill="F3F3F1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Stan przy wydaniu</w:t>
            </w:r>
          </w:p>
        </w:tc>
        <w:tc>
          <w:tcPr>
            <w:tcW w:type="dxa" w:w="2900"/>
            <w:shd w:fill="F3F3F1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Stan przy zwrocie</w:t>
            </w:r>
          </w:p>
        </w:tc>
      </w:tr>
      <w:tr>
        <w:trPr>
          <w:cantSplit/>
          <w:trHeight w:val="380" w:hRule="atLeast"/>
        </w:trPr>
        <w:tc>
          <w:tcPr>
            <w:tcW w:type="dxa" w:w="293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Ściany, sufity, podłogi</w:t>
            </w:r>
          </w:p>
        </w:tc>
        <w:tc>
          <w:tcPr>
            <w:tcW w:type="dxa" w:w="29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29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</w:tr>
      <w:tr>
        <w:trPr>
          <w:cantSplit/>
          <w:trHeight w:val="380" w:hRule="atLeast"/>
        </w:trPr>
        <w:tc>
          <w:tcPr>
            <w:tcW w:type="dxa" w:w="293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Okna, drzwi, zamki</w:t>
            </w:r>
          </w:p>
        </w:tc>
        <w:tc>
          <w:tcPr>
            <w:tcW w:type="dxa" w:w="29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29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</w:tr>
      <w:tr>
        <w:trPr>
          <w:cantSplit/>
          <w:trHeight w:val="380" w:hRule="atLeast"/>
        </w:trPr>
        <w:tc>
          <w:tcPr>
            <w:tcW w:type="dxa" w:w="293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Kuchnia i sprzęt AGD</w:t>
            </w:r>
          </w:p>
        </w:tc>
        <w:tc>
          <w:tcPr>
            <w:tcW w:type="dxa" w:w="29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29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</w:tr>
      <w:tr>
        <w:trPr>
          <w:cantSplit/>
          <w:trHeight w:val="380" w:hRule="atLeast"/>
        </w:trPr>
        <w:tc>
          <w:tcPr>
            <w:tcW w:type="dxa" w:w="293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Łazienka i WC</w:t>
            </w:r>
          </w:p>
        </w:tc>
        <w:tc>
          <w:tcPr>
            <w:tcW w:type="dxa" w:w="29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29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</w:tr>
      <w:tr>
        <w:trPr>
          <w:cantSplit/>
          <w:trHeight w:val="380" w:hRule="atLeast"/>
        </w:trPr>
        <w:tc>
          <w:tcPr>
            <w:tcW w:type="dxa" w:w="293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Meble</w:t>
            </w:r>
          </w:p>
        </w:tc>
        <w:tc>
          <w:tcPr>
            <w:tcW w:type="dxa" w:w="29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29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</w:tr>
      <w:tr>
        <w:trPr>
          <w:cantSplit/>
          <w:trHeight w:val="380" w:hRule="atLeast"/>
        </w:trPr>
        <w:tc>
          <w:tcPr>
            <w:tcW w:type="dxa" w:w="293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Instalacje, grzejniki, oświetlenie</w:t>
            </w:r>
          </w:p>
        </w:tc>
        <w:tc>
          <w:tcPr>
            <w:tcW w:type="dxa" w:w="29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29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</w:tr>
      <w:tr>
        <w:trPr>
          <w:cantSplit/>
          <w:trHeight w:val="380" w:hRule="atLeast"/>
        </w:trPr>
        <w:tc>
          <w:tcPr>
            <w:tcW w:type="dxa" w:w="293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29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29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</w:tr>
    </w:tbl>
    <w:p>
      <w:pPr>
        <w:keepNext/>
        <w:keepLines/>
        <w:pBdr>
          <w:bottom w:val="single" w:color="C8C8CC" w:sz="6" w:space="4"/>
        </w:pBdr>
        <w:spacing w:after="120" w:before="300"/>
      </w:pPr>
      <w:r>
        <w:rPr>
          <w:b/>
          <w:bCs/>
          <w:sz w:val="24"/>
          <w:szCs w:val="24"/>
        </w:rPr>
        <w:t xml:space="preserve">2.  Liczniki i klucze</w:t>
      </w:r>
    </w:p>
    <w:tbl>
      <w:tblPr>
        <w:tblW w:type="dxa" w:w="8730"/>
        <w:tblBorders>
          <w:top w:val="single" w:color="B4B4B8" w:sz="4"/>
          <w:left w:val="single" w:color="B4B4B8" w:sz="4"/>
          <w:bottom w:val="single" w:color="B4B4B8" w:sz="4"/>
          <w:right w:val="single" w:color="B4B4B8" w:sz="4"/>
          <w:insideH w:val="single" w:color="B4B4B8" w:sz="4"/>
          <w:insideV w:val="single" w:color="B4B4B8" w:sz="4"/>
        </w:tblBorders>
        <w:tblLayout w:type="fixed"/>
      </w:tblPr>
      <w:tblGrid>
        <w:gridCol w:w="2930"/>
        <w:gridCol w:w="2900"/>
        <w:gridCol w:w="2900"/>
      </w:tblGrid>
      <w:tr>
        <w:trPr>
          <w:cantSplit/>
          <w:tblHeader/>
        </w:trPr>
        <w:tc>
          <w:tcPr>
            <w:tcW w:type="dxa" w:w="2930"/>
            <w:shd w:fill="F3F3F1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Licznik lub przedmiot</w:t>
            </w:r>
          </w:p>
        </w:tc>
        <w:tc>
          <w:tcPr>
            <w:tcW w:type="dxa" w:w="2900"/>
            <w:shd w:fill="F3F3F1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Przy wydaniu</w:t>
            </w:r>
          </w:p>
        </w:tc>
        <w:tc>
          <w:tcPr>
            <w:tcW w:type="dxa" w:w="2900"/>
            <w:shd w:fill="F3F3F1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Przy zwrocie</w:t>
            </w:r>
          </w:p>
        </w:tc>
      </w:tr>
      <w:tr>
        <w:trPr>
          <w:cantSplit/>
          <w:trHeight w:val="340" w:hRule="atLeast"/>
        </w:trPr>
        <w:tc>
          <w:tcPr>
            <w:tcW w:type="dxa" w:w="293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Energia elektryczna (stan)</w:t>
            </w:r>
          </w:p>
        </w:tc>
        <w:tc>
          <w:tcPr>
            <w:tcW w:type="dxa" w:w="29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29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</w:tr>
      <w:tr>
        <w:trPr>
          <w:cantSplit/>
          <w:trHeight w:val="340" w:hRule="atLeast"/>
        </w:trPr>
        <w:tc>
          <w:tcPr>
            <w:tcW w:type="dxa" w:w="293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Woda zimna (stan)</w:t>
            </w:r>
          </w:p>
        </w:tc>
        <w:tc>
          <w:tcPr>
            <w:tcW w:type="dxa" w:w="29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29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</w:tr>
      <w:tr>
        <w:trPr>
          <w:cantSplit/>
          <w:trHeight w:val="340" w:hRule="atLeast"/>
        </w:trPr>
        <w:tc>
          <w:tcPr>
            <w:tcW w:type="dxa" w:w="293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Woda ciepła (stan)</w:t>
            </w:r>
          </w:p>
        </w:tc>
        <w:tc>
          <w:tcPr>
            <w:tcW w:type="dxa" w:w="29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29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</w:tr>
      <w:tr>
        <w:trPr>
          <w:cantSplit/>
          <w:trHeight w:val="340" w:hRule="atLeast"/>
        </w:trPr>
        <w:tc>
          <w:tcPr>
            <w:tcW w:type="dxa" w:w="293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Gaz (stan)</w:t>
            </w:r>
          </w:p>
        </w:tc>
        <w:tc>
          <w:tcPr>
            <w:tcW w:type="dxa" w:w="29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29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</w:tr>
      <w:tr>
        <w:trPr>
          <w:cantSplit/>
          <w:trHeight w:val="340" w:hRule="atLeast"/>
        </w:trPr>
        <w:tc>
          <w:tcPr>
            <w:tcW w:type="dxa" w:w="293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Klucze (liczba), piloty, karty</w:t>
            </w:r>
          </w:p>
        </w:tc>
        <w:tc>
          <w:tcPr>
            <w:tcW w:type="dxa" w:w="29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29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</w:tr>
    </w:tbl>
    <w:p>
      <w:pPr>
        <w:spacing w:after="80" w:before="140" w:line="288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Strony wykonały zdjęcia Lokalu w dniu wydania i przesłały je sobie e-mailem lub SMS-em. Zdjęcia stanowią część protokołu.</w:t>
      </w:r>
    </w:p>
    <w:p>
      <w:pPr>
        <w:tabs>
          <w:tab w:val="right" w:pos="8730" w:leader="underscore"/>
        </w:tabs>
        <w:spacing w:after="70" w:line="288"/>
      </w:pPr>
      <w:r>
        <w:t xml:space="preserve">Uwagi:  </w:t>
      </w:r>
      <w:r>
        <w:tab/>
      </w:r>
    </w:p>
    <w:tbl>
      <w:tblPr>
        <w:tblW w:type="dxa" w:w="87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002"/>
        <w:gridCol w:w="240"/>
        <w:gridCol w:w="2002"/>
        <w:gridCol w:w="240"/>
        <w:gridCol w:w="2002"/>
        <w:gridCol w:w="240"/>
        <w:gridCol w:w="2002"/>
      </w:tblGrid>
      <w:tr>
        <w:trPr>
          <w:cantSplit/>
          <w:trHeight w:val="700" w:hRule="atLeast"/>
        </w:trPr>
        <w:tc>
          <w:tcPr>
            <w:tcW w:type="dxa" w:w="20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  <w:tc>
          <w:tcPr>
            <w:tcW w:type="dxa" w:w="2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  <w:tc>
          <w:tcPr>
            <w:tcW w:type="dxa" w:w="20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  <w:tc>
          <w:tcPr>
            <w:tcW w:type="dxa" w:w="2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  <w:tc>
          <w:tcPr>
            <w:tcW w:type="dxa" w:w="20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  <w:tc>
          <w:tcPr>
            <w:tcW w:type="dxa" w:w="2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  <w:tc>
          <w:tcPr>
            <w:tcW w:type="dxa" w:w="20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2002"/>
            <w:tcBorders>
              <w:top w:val="single" w:color="8A8A8A" w:sz="6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60"/>
              <w:jc w:val="center"/>
            </w:pPr>
            <w:r>
              <w:rPr>
                <w:color w:val="6B6B6B"/>
                <w:sz w:val="16"/>
                <w:szCs w:val="16"/>
              </w:rPr>
              <w:t xml:space="preserve">Użyczający (wydanie)</w:t>
            </w:r>
          </w:p>
        </w:tc>
        <w:tc>
          <w:tcPr>
            <w:tcW w:type="dxa" w:w="2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  <w:tc>
          <w:tcPr>
            <w:tcW w:type="dxa" w:w="2002"/>
            <w:tcBorders>
              <w:top w:val="single" w:color="8A8A8A" w:sz="6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60"/>
              <w:jc w:val="center"/>
            </w:pPr>
            <w:r>
              <w:rPr>
                <w:color w:val="6B6B6B"/>
                <w:sz w:val="16"/>
                <w:szCs w:val="16"/>
              </w:rPr>
              <w:t xml:space="preserve">Biorący (wydanie)</w:t>
            </w:r>
          </w:p>
        </w:tc>
        <w:tc>
          <w:tcPr>
            <w:tcW w:type="dxa" w:w="2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  <w:tc>
          <w:tcPr>
            <w:tcW w:type="dxa" w:w="2002"/>
            <w:tcBorders>
              <w:top w:val="single" w:color="8A8A8A" w:sz="6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60"/>
              <w:jc w:val="center"/>
            </w:pPr>
            <w:r>
              <w:rPr>
                <w:color w:val="6B6B6B"/>
                <w:sz w:val="16"/>
                <w:szCs w:val="16"/>
              </w:rPr>
              <w:t xml:space="preserve">Użyczający (zwrot)</w:t>
            </w:r>
          </w:p>
        </w:tc>
        <w:tc>
          <w:tcPr>
            <w:tcW w:type="dxa" w:w="2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  <w:tc>
          <w:tcPr>
            <w:tcW w:type="dxa" w:w="2002"/>
            <w:tcBorders>
              <w:top w:val="single" w:color="8A8A8A" w:sz="6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60"/>
              <w:jc w:val="center"/>
            </w:pPr>
            <w:r>
              <w:rPr>
                <w:color w:val="6B6B6B"/>
                <w:sz w:val="16"/>
                <w:szCs w:val="16"/>
              </w:rPr>
              <w:t xml:space="preserve">Biorący (zwrot)</w:t>
            </w:r>
          </w:p>
        </w:tc>
      </w:tr>
    </w:tbl>
    <w:p>
      <w:r>
        <w:br w:type="page"/>
      </w:r>
    </w:p>
    <w:p>
      <w:pPr>
        <w:spacing w:after="40"/>
      </w:pPr>
      <w:r>
        <w:rPr>
          <w:b/>
          <w:bCs/>
          <w:sz w:val="26"/>
          <w:szCs w:val="26"/>
        </w:rPr>
        <w:t xml:space="preserve">Wskazówki do wzoru umowy użyczenia lokalu</w:t>
      </w:r>
    </w:p>
    <w:p>
      <w:pPr>
        <w:pBdr>
          <w:bottom w:val="single" w:color="C8C8CC" w:sz="6" w:space="6"/>
        </w:pBdr>
        <w:spacing w:after="200"/>
      </w:pPr>
      <w:r>
        <w:rPr>
          <w:i/>
          <w:iCs/>
          <w:color w:val="6B6B6B"/>
          <w:sz w:val="18"/>
          <w:szCs w:val="18"/>
        </w:rPr>
        <w:t xml:space="preserve">Ta strona nie jest częścią umowy. Usuń ją przed wydrukiem i nie podpisuj jej.</w:t>
      </w:r>
    </w:p>
    <w:p>
      <w:pPr>
        <w:pStyle w:val="ListParagraph"/>
        <w:numPr>
          <w:ilvl w:val="0"/>
          <w:numId w:val="10"/>
        </w:numPr>
        <w:spacing w:after="100" w:line="276"/>
      </w:pPr>
      <w:r>
        <w:rPr>
          <w:sz w:val="20"/>
          <w:szCs w:val="20"/>
        </w:rPr>
        <w:t xml:space="preserve">Użyczenie jest bezpłatne. Biorący może pokrywać zwykłe koszty utrzymania Lokalu: media i bieżące opłaty do wspólnoty lub spółdzielni (art. 713 Kodeksu cywilnego). Stała kwota płacona właścicielowi ponad te koszty zmienia umowę w najem, a wtedy wypowiedzenie przez właściciela jest możliwe tylko z przyczyn ustawowych (art. 11 ustawy o ochronie praw lokatorów), a przychód z najmu trzeba opodatkować.</w:t>
      </w:r>
    </w:p>
    <w:p>
      <w:pPr>
        <w:pStyle w:val="ListParagraph"/>
        <w:numPr>
          <w:ilvl w:val="0"/>
          <w:numId w:val="10"/>
        </w:numPr>
        <w:spacing w:after="100" w:line="276"/>
      </w:pPr>
      <w:r>
        <w:rPr>
          <w:sz w:val="20"/>
          <w:szCs w:val="20"/>
        </w:rPr>
        <w:t xml:space="preserve">Przy umowie na czas nieoznaczony wpisz termin wypowiedzenia w § 3 ust. 2. Unikniesz sporu, czy i kiedy umowę można zakończyć.</w:t>
      </w:r>
    </w:p>
    <w:p>
      <w:pPr>
        <w:pStyle w:val="ListParagraph"/>
        <w:numPr>
          <w:ilvl w:val="0"/>
          <w:numId w:val="10"/>
        </w:numPr>
        <w:spacing w:after="100" w:line="276"/>
      </w:pPr>
      <w:r>
        <w:rPr>
          <w:sz w:val="20"/>
          <w:szCs w:val="20"/>
        </w:rPr>
        <w:t xml:space="preserve">Jeśli mieszkanie lub dom należy do majątku wspólnego małżonków, na oddanie go do używania potrzebna jest zgoda drugiego małżonka (art. 37 § 1 pkt 1 Kodeksu rodzinnego i opiekuńczego). Przy współwłasności niech umowę podpiszą albo zgodę wyrażą wszyscy współwłaściciele. Najemca może użyczyć lokal tylko za zgodą wynajmującego, chyba że chodzi o osobę, wobec której ma obowiązek alimentacyjny (art. 688² KC).</w:t>
      </w:r>
    </w:p>
    <w:p>
      <w:pPr>
        <w:pStyle w:val="ListParagraph"/>
        <w:numPr>
          <w:ilvl w:val="0"/>
          <w:numId w:val="10"/>
        </w:numPr>
        <w:spacing w:after="100" w:line="276"/>
      </w:pPr>
      <w:r>
        <w:rPr>
          <w:sz w:val="20"/>
          <w:szCs w:val="20"/>
        </w:rPr>
        <w:t xml:space="preserve">Biorący jest lokatorem w rozumieniu ustawy o ochronie praw lokatorów. Jeśli po zakończeniu umowy się nie wyprowadzi, właściciel nie może usunąć go sam, np. wymieniając zamki lub odcinając media (art. 191 § 1a Kodeksu karnego). Drogą jest pozew o eksmisję, a do dnia opróżnienia lokalu Biorący płaci odszkodowanie (art. 18 tej ustawy).</w:t>
      </w:r>
    </w:p>
    <w:p>
      <w:pPr>
        <w:pStyle w:val="ListParagraph"/>
        <w:numPr>
          <w:ilvl w:val="0"/>
          <w:numId w:val="10"/>
        </w:numPr>
        <w:spacing w:after="100" w:line="276"/>
      </w:pPr>
      <w:r>
        <w:rPr>
          <w:sz w:val="20"/>
          <w:szCs w:val="20"/>
        </w:rPr>
        <w:t xml:space="preserve">Biorący nie nabędzie mieszkania przez zasiedzenie, nawet po wielu latach, bo jest posiadaczem zależnym, a nie samoistnym (art. 336 i 172 KC).</w:t>
      </w:r>
    </w:p>
    <w:p>
      <w:pPr>
        <w:pStyle w:val="ListParagraph"/>
        <w:numPr>
          <w:ilvl w:val="0"/>
          <w:numId w:val="10"/>
        </w:numPr>
        <w:spacing w:after="100" w:line="276"/>
      </w:pPr>
      <w:r>
        <w:rPr>
          <w:sz w:val="20"/>
          <w:szCs w:val="20"/>
        </w:rPr>
        <w:t xml:space="preserve">Użyczenie nie wiąże nowego właściciela. Jeśli sprzedasz lub podarujesz mieszkanie, nabywca może żądać jego wydania. Zaznacz w § 3 ust. 3 lit. e, że sprzedaż jest powodem do żądania zwrotu.</w:t>
      </w:r>
    </w:p>
    <w:p>
      <w:pPr>
        <w:pStyle w:val="ListParagraph"/>
        <w:numPr>
          <w:ilvl w:val="0"/>
          <w:numId w:val="10"/>
        </w:numPr>
        <w:spacing w:after="100" w:line="276"/>
      </w:pPr>
      <w:r>
        <w:rPr>
          <w:sz w:val="20"/>
          <w:szCs w:val="20"/>
        </w:rPr>
        <w:t xml:space="preserve">Jeśli rodzic chce zapewnić dziecku lub sobie prawo do mieszkania na lata, również wobec przyszłych właścicieli, lepsza może być służebność mieszkania ustanowiona u notariusza i wpisana do księgi wieczystej.</w:t>
      </w:r>
    </w:p>
    <w:p>
      <w:pPr>
        <w:pStyle w:val="ListParagraph"/>
        <w:numPr>
          <w:ilvl w:val="0"/>
          <w:numId w:val="10"/>
        </w:numPr>
        <w:spacing w:after="100" w:line="276"/>
      </w:pPr>
      <w:r>
        <w:rPr>
          <w:sz w:val="20"/>
          <w:szCs w:val="20"/>
        </w:rPr>
        <w:t xml:space="preserve">Użyczenie od członka rodziny z I lub II grupy podatkowej (np. rodzice, dzieci, rodzeństwo, teściowie, dziadkowie) nie rodzi podatku po stronie Biorącego (art. 21 ust. 1 pkt 125 ustawy o PIT). Przy innych osobach Biorący ma przychód z nieodpłatnego świadczenia równy rynkowemu czynszowi.</w:t>
      </w:r>
    </w:p>
    <w:p>
      <w:pPr>
        <w:pStyle w:val="ListParagraph"/>
        <w:numPr>
          <w:ilvl w:val="0"/>
          <w:numId w:val="10"/>
        </w:numPr>
        <w:spacing w:after="100" w:line="276"/>
      </w:pPr>
      <w:r>
        <w:rPr>
          <w:sz w:val="20"/>
          <w:szCs w:val="20"/>
        </w:rPr>
        <w:t xml:space="preserve">Wypełnijcie protokół przy wydaniu i przy zwrocie Lokalu. Roszczenia o naprawienie szkody za pogorszenie Lokalu przedawniają się po roku od dnia jego zwrotu (art. 719 KC).</w:t>
      </w:r>
    </w:p>
    <w:p>
      <w:pPr>
        <w:keepLines/>
        <w:pBdr>
          <w:top w:val="single" w:color="C8C8CC" w:sz="4" w:space="8"/>
        </w:pBdr>
        <w:spacing w:after="50" w:before="120" w:line="264"/>
      </w:pPr>
      <w:r>
        <w:rPr>
          <w:i/>
          <w:iCs/>
          <w:color w:val="6B6B6B"/>
          <w:sz w:val="16"/>
          <w:szCs w:val="16"/>
        </w:rPr>
        <w:t xml:space="preserve">Wzór ma charakter informacyjny i nie stanowi porady prawnej. Objaśnienia wszystkich postanowień, przykład wypełnienia i aktualna wersja wzoru: </w:t>
      </w:r>
      <w:hyperlink w:history="1" r:id="rIduly1ushzlskcbvrisvrrw">
        <w:r>
          <w:rPr>
            <w:rStyle w:val="Hyperlink"/>
            <w:i/>
            <w:iCs/>
            <w:sz w:val="16"/>
            <w:szCs w:val="16"/>
          </w:rPr>
          <w:t xml:space="preserve">www.notalot.pl/wiedza/nieruchomosci/wzor-umowy-uzyczenia/</w:t>
        </w:r>
      </w:hyperlink>
    </w:p>
    <w:p>
      <w:pPr>
        <w:keepLines/>
        <w:spacing w:after="50" w:before="0" w:line="264"/>
      </w:pPr>
      <w:r>
        <w:rPr>
          <w:i/>
          <w:iCs/>
          <w:color w:val="6B6B6B"/>
          <w:sz w:val="16"/>
          <w:szCs w:val="16"/>
        </w:rPr>
        <w:t xml:space="preserve">Wzór przygotowała redakcja Notalot.pl — serwisu Fundacji Otwarte Państwo. Bezpłatnie i bez rejestracji.</w:t>
      </w:r>
    </w:p>
    <w:sectPr>
      <w:footerReference w:type="default" r:id="rId7"/>
      <w:pgSz w:w="11906" w:h="16838" w:orient="portrait"/>
      <w:pgMar w:top="1300" w:right="1588" w:bottom="1300" w:left="1588" w:header="708" w:footer="6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Stopka"/>
      <w:jc w:val="center"/>
    </w:pPr>
    <w:r>
      <w:t xml:space="preserve">Umowa użyczenia lokalu mieszkalnego · notalot.pl · strona </w:t>
    </w:r>
    <w:r>
      <w:fldChar w:fldCharType="begin"/>
      <w:instrText xml:space="preserve">PAGE</w:instrText>
      <w:fldChar w:fldCharType="separate"/>
      <w:fldChar w:fldCharType="end"/>
    </w:r>
    <w:r>
      <w:t xml:space="preserve"> z </w:t>
    </w:r>
    <w: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397" w:hanging="397"/>
      </w:pPr>
    </w:lvl>
    <w:lvl w:ilvl="1" w15:tentative="1">
      <w:start w:val="1"/>
      <w:numFmt w:val="lowerLetter"/>
      <w:lvlText w:val="%2)"/>
      <w:lvlJc w:val="left"/>
      <w:pPr>
        <w:ind w:left="794" w:hanging="397"/>
      </w:pPr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97" w:hanging="284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2"/>
    <w:lvlOverride w:ilvl="0">
      <w:startOverride w:val="1"/>
    </w:lvlOverride>
  </w:num>
  <w:num w:numId="4">
    <w:abstractNumId w:val="2"/>
    <w:lvlOverride w:ilvl="0">
      <w:startOverride w:val="1"/>
    </w:lvlOverride>
  </w:num>
  <w:num w:numId="5">
    <w:abstractNumId w:val="2"/>
    <w:lvlOverride w:ilvl="0">
      <w:startOverride w:val="1"/>
    </w:lvlOverride>
  </w:num>
  <w:num w:numId="6">
    <w:abstractNumId w:val="2"/>
    <w:lvlOverride w:ilvl="0">
      <w:startOverride w:val="1"/>
    </w:lvlOverride>
  </w:num>
  <w:num w:numId="7">
    <w:abstractNumId w:val="2"/>
    <w:lvlOverride w:ilvl="0">
      <w:startOverride w:val="1"/>
    </w:lvlOverride>
  </w:num>
  <w:num w:numId="8">
    <w:abstractNumId w:val="2"/>
    <w:lvlOverride w:ilvl="0">
      <w:startOverride w:val="1"/>
    </w:lvlOverride>
  </w:num>
  <w:num w:numId="9">
    <w:abstractNumId w:val="2"/>
    <w:lvlOverride w:ilvl="0">
      <w:startOverride w:val="1"/>
    </w:lvlOverride>
  </w:num>
  <w:num w:numId="10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A1A1A"/>
        <w:sz w:val="22"/>
        <w:szCs w:val="22"/>
        <w:lang w:val="pl-P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topka">
    <w:name w:val="Stopka"/>
    <w:rPr>
      <w:color w:val="8A8A8A"/>
      <w:sz w:val="16"/>
      <w:szCs w:val="16"/>
    </w:rPr>
  </w:style>
  <w:style w:type="character" w:styleId="Hyperlink">
    <w:name w:val="Hyperlink"/>
    <w:basedOn w:val="DefaultParagraphFont"/>
    <w:uiPriority w:val="99"/>
    <w:unhideWhenUsed/>
    <w:rPr>
      <w:color w:val="1F3D33"/>
      <w:u w:val="single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ly1ushzlskcbvrisvrrw" Type="http://schemas.openxmlformats.org/officeDocument/2006/relationships/hyperlink" Target="https://www.notalot.pl/wiedza/nieruchomosci/wzor-umowy-uzyczenia/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użyczenia lokalu mieszkalnego – wzór</dc:title>
  <dc:subject>Wzór umowy użyczenia mieszkania lub domu (Word i PDF) z protokołem zdawczo-odbiorczym</dc:subject>
  <dc:creator>Notalot.pl</dc:creator>
  <cp:keywords>umowa użyczenia lokalu, umowa użyczenia mieszkania, wzór umowy użyczenia lokalu mieszkalnego, użyczenie mieszkania rodzinie, umowa użyczenia domu</cp:keywords>
  <dc:description>Bezpłatny wzór umowy użyczenia mieszkania lub domu z protokołem zdawczo-odbiorczym. Objaśnienia: https://www.notalot.pl/wiedza/nieruchomosci/wzor-umowy-uzyczenia/</dc:description>
  <cp:lastModifiedBy>Notalot.pl</cp:lastModifiedBy>
  <cp:revision>1</cp:revision>
  <dcterms:created xsi:type="dcterms:W3CDTF">2026-09-22T19:34:01.244Z</dcterms:created>
  <dcterms:modified xsi:type="dcterms:W3CDTF">2026-09-22T19:34:01.244Z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